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highlight w:val="none"/>
        </w:rPr>
      </w:pPr>
      <w:bookmarkStart w:id="1" w:name="_GoBack"/>
    </w:p>
    <w:p>
      <w:pPr>
        <w:widowControl/>
        <w:spacing w:line="750" w:lineRule="atLeast"/>
        <w:jc w:val="center"/>
        <w:rPr>
          <w:rFonts w:ascii="Times New Roman" w:hAnsi="Times New Roman" w:eastAsia="黑体"/>
          <w:kern w:val="0"/>
          <w:sz w:val="30"/>
          <w:szCs w:val="30"/>
          <w:highlight w:val="none"/>
        </w:rPr>
      </w:pPr>
      <w:bookmarkStart w:id="0" w:name="_Hlk23623455"/>
      <w:r>
        <w:rPr>
          <w:rFonts w:hint="eastAsia" w:ascii="Times New Roman" w:hAnsi="Times New Roman" w:eastAsia="黑体"/>
          <w:kern w:val="0"/>
          <w:sz w:val="30"/>
          <w:szCs w:val="30"/>
          <w:highlight w:val="none"/>
        </w:rPr>
        <w:t>文水宝吉铸钢加工有限责任公司年产13000吨健身</w:t>
      </w:r>
    </w:p>
    <w:p>
      <w:pPr>
        <w:pStyle w:val="18"/>
        <w:autoSpaceDN w:val="0"/>
        <w:snapToGrid w:val="0"/>
        <w:spacing w:line="360" w:lineRule="auto"/>
        <w:jc w:val="center"/>
        <w:rPr>
          <w:rFonts w:ascii="Times New Roman" w:hAnsi="Times New Roman" w:eastAsia="黑体" w:cs="Times New Roman"/>
          <w:sz w:val="30"/>
          <w:szCs w:val="30"/>
          <w:highlight w:val="none"/>
        </w:rPr>
      </w:pPr>
      <w:r>
        <w:rPr>
          <w:rFonts w:hint="eastAsia" w:ascii="Times New Roman" w:hAnsi="Times New Roman" w:eastAsia="黑体" w:cs="Times New Roman"/>
          <w:sz w:val="30"/>
          <w:szCs w:val="30"/>
          <w:highlight w:val="none"/>
        </w:rPr>
        <w:t>用品项目</w:t>
      </w:r>
      <w:r>
        <w:rPr>
          <w:rFonts w:ascii="Times New Roman" w:hAnsi="Times New Roman" w:eastAsia="黑体" w:cs="Times New Roman"/>
          <w:sz w:val="30"/>
          <w:szCs w:val="30"/>
          <w:highlight w:val="none"/>
        </w:rPr>
        <w:t>竣工环境保护验收意见</w:t>
      </w:r>
    </w:p>
    <w:bookmarkEnd w:id="0"/>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2022年</w:t>
      </w:r>
      <w:r>
        <w:rPr>
          <w:rFonts w:hint="eastAsia" w:ascii="Times New Roman" w:hAnsi="Times New Roman"/>
          <w:sz w:val="24"/>
          <w:szCs w:val="24"/>
          <w:highlight w:val="none"/>
        </w:rPr>
        <w:t>8</w:t>
      </w:r>
      <w:r>
        <w:rPr>
          <w:rFonts w:ascii="Times New Roman" w:hAnsi="Times New Roman"/>
          <w:sz w:val="24"/>
          <w:szCs w:val="24"/>
          <w:highlight w:val="none"/>
        </w:rPr>
        <w:t>月1</w:t>
      </w:r>
      <w:r>
        <w:rPr>
          <w:rFonts w:hint="eastAsia" w:ascii="Times New Roman" w:hAnsi="Times New Roman"/>
          <w:sz w:val="24"/>
          <w:szCs w:val="24"/>
          <w:highlight w:val="none"/>
        </w:rPr>
        <w:t>3</w:t>
      </w:r>
      <w:r>
        <w:rPr>
          <w:rFonts w:ascii="Times New Roman" w:hAnsi="Times New Roman"/>
          <w:sz w:val="24"/>
          <w:szCs w:val="24"/>
          <w:highlight w:val="none"/>
        </w:rPr>
        <w:t xml:space="preserve">日，文水宝吉铸钢加工有限责任公司根据《文水宝吉铸钢加工有限责任公司年产13000吨健身用品项目竣工环境保护验收监测报告表》（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 </w:t>
      </w:r>
    </w:p>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一、项目建设基本情况</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（一）建设地点、规模、主要建设内容</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建设地点：本项目位于吕梁市文水县</w:t>
      </w:r>
      <w:r>
        <w:rPr>
          <w:rFonts w:hint="eastAsia" w:ascii="Times New Roman" w:hAnsi="Times New Roman"/>
          <w:sz w:val="24"/>
          <w:szCs w:val="24"/>
          <w:highlight w:val="none"/>
        </w:rPr>
        <w:t>凤城镇武午村</w:t>
      </w:r>
      <w:r>
        <w:rPr>
          <w:rFonts w:ascii="Times New Roman" w:hAnsi="Times New Roman"/>
          <w:sz w:val="24"/>
          <w:szCs w:val="24"/>
          <w:highlight w:val="none"/>
        </w:rPr>
        <w:t>，厂区总占地</w:t>
      </w:r>
      <w:r>
        <w:rPr>
          <w:rFonts w:hint="eastAsia" w:ascii="Times New Roman" w:hAnsi="Times New Roman"/>
          <w:sz w:val="24"/>
          <w:szCs w:val="24"/>
          <w:highlight w:val="none"/>
        </w:rPr>
        <w:t>10000</w:t>
      </w:r>
      <w:r>
        <w:rPr>
          <w:rFonts w:ascii="Times New Roman" w:hAnsi="Times New Roman"/>
          <w:sz w:val="24"/>
          <w:szCs w:val="24"/>
          <w:highlight w:val="none"/>
        </w:rPr>
        <w:t>m</w:t>
      </w:r>
      <w:r>
        <w:rPr>
          <w:rFonts w:ascii="Times New Roman" w:hAnsi="Times New Roman"/>
          <w:sz w:val="24"/>
          <w:szCs w:val="24"/>
          <w:highlight w:val="none"/>
          <w:vertAlign w:val="superscript"/>
        </w:rPr>
        <w:t>2</w:t>
      </w:r>
      <w:r>
        <w:rPr>
          <w:rFonts w:ascii="Times New Roman" w:hAnsi="Times New Roman"/>
          <w:sz w:val="24"/>
          <w:szCs w:val="24"/>
          <w:highlight w:val="none"/>
        </w:rPr>
        <w:t>，中心地理坐标为E112°5′14.5″</w:t>
      </w:r>
      <w:r>
        <w:rPr>
          <w:rFonts w:hint="eastAsia" w:ascii="Times New Roman" w:hAnsi="Times New Roman"/>
          <w:sz w:val="24"/>
          <w:szCs w:val="24"/>
          <w:highlight w:val="none"/>
        </w:rPr>
        <w:t xml:space="preserve">/ </w:t>
      </w:r>
      <w:r>
        <w:rPr>
          <w:rFonts w:ascii="Times New Roman" w:hAnsi="Times New Roman"/>
          <w:sz w:val="24"/>
          <w:szCs w:val="24"/>
          <w:highlight w:val="none"/>
        </w:rPr>
        <w:t>N37°28′4.2″。</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建设规模为年产</w:t>
      </w:r>
      <w:r>
        <w:rPr>
          <w:rFonts w:ascii="Times New Roman" w:hAnsi="Times New Roman"/>
          <w:sz w:val="24"/>
          <w:szCs w:val="24"/>
          <w:highlight w:val="none"/>
        </w:rPr>
        <w:t>1500吨环保木炭</w:t>
      </w:r>
      <w:r>
        <w:rPr>
          <w:rFonts w:hint="eastAsia" w:ascii="Times New Roman" w:hAnsi="Times New Roman"/>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工程主要建设内容见下表</w:t>
      </w:r>
      <w:r>
        <w:rPr>
          <w:rFonts w:hint="eastAsia" w:ascii="Times New Roman" w:hAnsi="Times New Roman"/>
          <w:sz w:val="24"/>
          <w:szCs w:val="24"/>
          <w:highlight w:val="none"/>
        </w:rPr>
        <w:t>1</w:t>
      </w:r>
      <w:r>
        <w:rPr>
          <w:rFonts w:ascii="Times New Roman" w:hAnsi="Times New Roman"/>
          <w:sz w:val="24"/>
          <w:szCs w:val="24"/>
          <w:highlight w:val="none"/>
        </w:rPr>
        <w:t>。</w:t>
      </w:r>
    </w:p>
    <w:p>
      <w:pPr>
        <w:pStyle w:val="13"/>
        <w:spacing w:line="440" w:lineRule="exact"/>
        <w:jc w:val="center"/>
        <w:rPr>
          <w:rFonts w:ascii="黑体" w:hAnsi="黑体" w:eastAsia="黑体" w:cs="Times New Roman"/>
          <w:bCs/>
          <w:color w:val="auto"/>
          <w:sz w:val="21"/>
          <w:szCs w:val="21"/>
          <w:highlight w:val="none"/>
        </w:rPr>
      </w:pPr>
      <w:r>
        <w:rPr>
          <w:rFonts w:ascii="黑体" w:hAnsi="黑体" w:eastAsia="黑体" w:cs="Times New Roman"/>
          <w:bCs/>
          <w:color w:val="auto"/>
          <w:sz w:val="21"/>
          <w:szCs w:val="21"/>
          <w:highlight w:val="none"/>
        </w:rPr>
        <w:t>表1  项目建设内容一览表</w:t>
      </w:r>
    </w:p>
    <w:tbl>
      <w:tblPr>
        <w:tblStyle w:val="10"/>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1"/>
        <w:gridCol w:w="341"/>
        <w:gridCol w:w="1102"/>
        <w:gridCol w:w="3548"/>
        <w:gridCol w:w="286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工程名称</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环评要求内容</w:t>
            </w:r>
          </w:p>
        </w:tc>
        <w:tc>
          <w:tcPr>
            <w:tcW w:w="2863"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实际建设内容</w:t>
            </w:r>
          </w:p>
        </w:tc>
        <w:tc>
          <w:tcPr>
            <w:tcW w:w="753"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331" w:type="dxa"/>
            <w:vMerge w:val="restart"/>
            <w:tcBorders>
              <w:top w:val="nil"/>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主体工程</w:t>
            </w:r>
          </w:p>
        </w:tc>
        <w:tc>
          <w:tcPr>
            <w:tcW w:w="1443" w:type="dxa"/>
            <w:gridSpan w:val="2"/>
            <w:tcBorders>
              <w:top w:val="nil"/>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砂处理、造型、制芯车间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1座，位于厂区西侧，占地面积2500 m</w:t>
            </w:r>
            <w:r>
              <w:rPr>
                <w:rFonts w:ascii="Times New Roman" w:hAnsi="Times New Roman"/>
                <w:szCs w:val="21"/>
                <w:highlight w:val="none"/>
                <w:vertAlign w:val="superscript"/>
              </w:rPr>
              <w:t>2</w:t>
            </w:r>
            <w:r>
              <w:rPr>
                <w:rFonts w:ascii="Times New Roman" w:hAnsi="Times New Roman"/>
                <w:szCs w:val="21"/>
                <w:highlight w:val="none"/>
              </w:rPr>
              <w:t>，全封闭彩钢结构，内置全自动混砂设备1套、造型机2台、制芯机4台。</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szCs w:val="21"/>
                <w:highlight w:val="none"/>
              </w:rPr>
              <w:t>全封闭彩钢结构，占地面积2500 m</w:t>
            </w:r>
            <w:r>
              <w:rPr>
                <w:rFonts w:ascii="Times New Roman" w:hAnsi="Times New Roman"/>
                <w:szCs w:val="21"/>
                <w:highlight w:val="none"/>
                <w:vertAlign w:val="superscript"/>
              </w:rPr>
              <w:t>2</w:t>
            </w:r>
            <w:r>
              <w:rPr>
                <w:rFonts w:ascii="Times New Roman" w:hAnsi="Times New Roman"/>
                <w:szCs w:val="21"/>
                <w:highlight w:val="none"/>
              </w:rPr>
              <w:t>，内置全自动混砂设备1套</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nil"/>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清理和加工、沾漆、成品车间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1座，位于厂区北侧，占地面积800 m</w:t>
            </w:r>
            <w:r>
              <w:rPr>
                <w:rFonts w:ascii="Times New Roman" w:hAnsi="Times New Roman"/>
                <w:szCs w:val="21"/>
                <w:highlight w:val="none"/>
                <w:vertAlign w:val="superscript"/>
              </w:rPr>
              <w:t>2</w:t>
            </w:r>
            <w:r>
              <w:rPr>
                <w:rFonts w:ascii="Times New Roman" w:hAnsi="Times New Roman"/>
                <w:szCs w:val="21"/>
                <w:highlight w:val="none"/>
              </w:rPr>
              <w:t>，全封闭彩钢结构，内置抛丸清理机3台、打磨机10台。</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szCs w:val="21"/>
                <w:highlight w:val="none"/>
              </w:rPr>
              <w:t>全封闭彩钢结构，占地面积</w:t>
            </w:r>
            <w:r>
              <w:rPr>
                <w:rFonts w:hint="eastAsia" w:ascii="Times New Roman" w:hAnsi="Times New Roman"/>
                <w:szCs w:val="21"/>
                <w:highlight w:val="none"/>
              </w:rPr>
              <w:t>20</w:t>
            </w:r>
            <w:r>
              <w:rPr>
                <w:rFonts w:ascii="Times New Roman" w:hAnsi="Times New Roman"/>
                <w:szCs w:val="21"/>
                <w:highlight w:val="none"/>
              </w:rPr>
              <w:t>00 m</w:t>
            </w:r>
            <w:r>
              <w:rPr>
                <w:rFonts w:ascii="Times New Roman" w:hAnsi="Times New Roman"/>
                <w:szCs w:val="21"/>
                <w:highlight w:val="none"/>
                <w:vertAlign w:val="superscript"/>
              </w:rPr>
              <w:t>2</w:t>
            </w:r>
            <w:r>
              <w:rPr>
                <w:rFonts w:ascii="Times New Roman" w:hAnsi="Times New Roman"/>
                <w:szCs w:val="21"/>
                <w:highlight w:val="none"/>
              </w:rPr>
              <w:t>，内置抛丸清理机</w:t>
            </w:r>
            <w:r>
              <w:rPr>
                <w:rFonts w:hint="eastAsia" w:ascii="Times New Roman" w:hAnsi="Times New Roman"/>
                <w:szCs w:val="21"/>
                <w:highlight w:val="none"/>
              </w:rPr>
              <w:t>1</w:t>
            </w:r>
            <w:r>
              <w:rPr>
                <w:rFonts w:ascii="Times New Roman" w:hAnsi="Times New Roman"/>
                <w:szCs w:val="21"/>
                <w:highlight w:val="none"/>
              </w:rPr>
              <w:t>台、打磨机10台。</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nil"/>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熔炼、冷却、原材料车间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1座，位于厂区中部，占地面积1200 m</w:t>
            </w:r>
            <w:r>
              <w:rPr>
                <w:rFonts w:ascii="Times New Roman" w:hAnsi="Times New Roman"/>
                <w:szCs w:val="21"/>
                <w:highlight w:val="none"/>
                <w:vertAlign w:val="superscript"/>
              </w:rPr>
              <w:t>2</w:t>
            </w:r>
            <w:r>
              <w:rPr>
                <w:rFonts w:ascii="Times New Roman" w:hAnsi="Times New Roman"/>
                <w:szCs w:val="21"/>
                <w:highlight w:val="none"/>
              </w:rPr>
              <w:t>，全封闭彩钢结构，内置2t/h中频电炉</w:t>
            </w:r>
          </w:p>
          <w:p>
            <w:pPr>
              <w:spacing w:line="340" w:lineRule="exact"/>
              <w:jc w:val="center"/>
              <w:rPr>
                <w:rFonts w:ascii="Times New Roman" w:hAnsi="Times New Roman"/>
                <w:szCs w:val="21"/>
                <w:highlight w:val="none"/>
              </w:rPr>
            </w:pPr>
            <w:r>
              <w:rPr>
                <w:rFonts w:ascii="Times New Roman" w:hAnsi="Times New Roman"/>
                <w:szCs w:val="21"/>
                <w:highlight w:val="none"/>
              </w:rPr>
              <w:t>4台。</w:t>
            </w:r>
          </w:p>
        </w:tc>
        <w:tc>
          <w:tcPr>
            <w:tcW w:w="2863" w:type="dxa"/>
            <w:tcBorders>
              <w:top w:val="single" w:color="auto" w:sz="4" w:space="0"/>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szCs w:val="21"/>
                <w:highlight w:val="none"/>
              </w:rPr>
              <w:t>全封闭彩钢结构，</w:t>
            </w:r>
            <w:r>
              <w:rPr>
                <w:rFonts w:hint="eastAsia" w:ascii="Times New Roman" w:hAnsi="Times New Roman"/>
                <w:szCs w:val="21"/>
                <w:highlight w:val="none"/>
              </w:rPr>
              <w:t>占地面积1000m</w:t>
            </w:r>
            <w:r>
              <w:rPr>
                <w:rFonts w:hint="eastAsia" w:ascii="Times New Roman" w:hAnsi="Times New Roman"/>
                <w:szCs w:val="21"/>
                <w:highlight w:val="none"/>
                <w:vertAlign w:val="superscript"/>
              </w:rPr>
              <w:t>2</w:t>
            </w:r>
            <w:r>
              <w:rPr>
                <w:rFonts w:hint="eastAsia" w:ascii="Times New Roman" w:hAnsi="Times New Roman"/>
                <w:szCs w:val="21"/>
                <w:highlight w:val="none"/>
              </w:rPr>
              <w:t>，内置2台3t/h中频炉，1台2t/h中频炉（备用）</w:t>
            </w:r>
          </w:p>
        </w:tc>
        <w:tc>
          <w:tcPr>
            <w:tcW w:w="753" w:type="dxa"/>
            <w:tcBorders>
              <w:top w:val="single" w:color="auto" w:sz="4" w:space="0"/>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中频炉总吨位不变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331"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nil"/>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喷塑车间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1座，位于厂区东侧，占地面积300 m</w:t>
            </w:r>
            <w:r>
              <w:rPr>
                <w:rFonts w:ascii="Times New Roman" w:hAnsi="Times New Roman"/>
                <w:szCs w:val="21"/>
                <w:highlight w:val="none"/>
                <w:vertAlign w:val="superscript"/>
              </w:rPr>
              <w:t>2</w:t>
            </w:r>
            <w:r>
              <w:rPr>
                <w:rFonts w:ascii="Times New Roman" w:hAnsi="Times New Roman"/>
                <w:szCs w:val="21"/>
                <w:highlight w:val="none"/>
              </w:rPr>
              <w:t>，全封闭彩钢结构，内置喷塑机2台。</w:t>
            </w:r>
          </w:p>
        </w:tc>
        <w:tc>
          <w:tcPr>
            <w:tcW w:w="2863" w:type="dxa"/>
            <w:tcBorders>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全封闭彩钢结构，占地面积300m</w:t>
            </w:r>
            <w:r>
              <w:rPr>
                <w:rFonts w:hint="eastAsia" w:ascii="Times New Roman" w:hAnsi="Times New Roman"/>
                <w:bCs/>
                <w:szCs w:val="21"/>
                <w:highlight w:val="none"/>
                <w:vertAlign w:val="superscript"/>
              </w:rPr>
              <w:t>2</w:t>
            </w:r>
            <w:r>
              <w:rPr>
                <w:rFonts w:hint="eastAsia" w:ascii="Times New Roman" w:hAnsi="Times New Roman"/>
                <w:bCs/>
                <w:szCs w:val="21"/>
                <w:highlight w:val="none"/>
              </w:rPr>
              <w:t>，内置喷塑机</w:t>
            </w:r>
          </w:p>
        </w:tc>
        <w:tc>
          <w:tcPr>
            <w:tcW w:w="753" w:type="dxa"/>
            <w:tcBorders>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restart"/>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辅助工程</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办公房</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办公用房占地面积200 m</w:t>
            </w:r>
            <w:r>
              <w:rPr>
                <w:rFonts w:ascii="Times New Roman" w:hAnsi="Times New Roman"/>
                <w:szCs w:val="21"/>
                <w:highlight w:val="none"/>
                <w:vertAlign w:val="superscript"/>
              </w:rPr>
              <w:t>2</w:t>
            </w:r>
            <w:r>
              <w:rPr>
                <w:rFonts w:ascii="Times New Roman" w:hAnsi="Times New Roman"/>
                <w:szCs w:val="21"/>
                <w:highlight w:val="none"/>
              </w:rPr>
              <w:t>，砖混结构</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砖混结构，占地面积200m</w:t>
            </w:r>
            <w:r>
              <w:rPr>
                <w:rFonts w:hint="eastAsia" w:ascii="Times New Roman" w:hAnsi="Times New Roman"/>
                <w:bCs/>
                <w:szCs w:val="21"/>
                <w:highlight w:val="none"/>
                <w:vertAlign w:val="superscript"/>
              </w:rPr>
              <w:t>2</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配电室</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占地面积50 m</w:t>
            </w:r>
            <w:r>
              <w:rPr>
                <w:rFonts w:ascii="Times New Roman" w:hAnsi="Times New Roman"/>
                <w:szCs w:val="21"/>
                <w:highlight w:val="none"/>
                <w:vertAlign w:val="superscript"/>
              </w:rPr>
              <w:t>2</w:t>
            </w:r>
            <w:r>
              <w:rPr>
                <w:rFonts w:ascii="Times New Roman" w:hAnsi="Times New Roman"/>
                <w:szCs w:val="21"/>
                <w:highlight w:val="none"/>
              </w:rPr>
              <w:t>，混转结构，内置4000KVA变压器一台</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砖混结构，占地50m</w:t>
            </w:r>
            <w:r>
              <w:rPr>
                <w:rFonts w:hint="eastAsia" w:ascii="Times New Roman" w:hAnsi="Times New Roman"/>
                <w:bCs/>
                <w:szCs w:val="21"/>
                <w:highlight w:val="none"/>
                <w:vertAlign w:val="superscript"/>
              </w:rPr>
              <w:t>2</w:t>
            </w:r>
            <w:r>
              <w:rPr>
                <w:rFonts w:hint="eastAsia" w:ascii="Times New Roman" w:hAnsi="Times New Roman"/>
                <w:bCs/>
                <w:szCs w:val="21"/>
                <w:highlight w:val="none"/>
              </w:rPr>
              <w:t>，内置4000KVA变压器1台</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道路硬化</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占地面积为400 m</w:t>
            </w:r>
            <w:r>
              <w:rPr>
                <w:rFonts w:ascii="Times New Roman" w:hAnsi="Times New Roman"/>
                <w:szCs w:val="21"/>
                <w:highlight w:val="none"/>
                <w:vertAlign w:val="superscript"/>
              </w:rPr>
              <w:t>2</w:t>
            </w:r>
            <w:r>
              <w:rPr>
                <w:rFonts w:ascii="Times New Roman" w:hAnsi="Times New Roman"/>
                <w:szCs w:val="21"/>
                <w:highlight w:val="none"/>
              </w:rPr>
              <w:t>，地面硬化</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地面硬化</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绿化景观</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占地面积为2000 m</w:t>
            </w:r>
            <w:r>
              <w:rPr>
                <w:rFonts w:ascii="Times New Roman" w:hAnsi="Times New Roman"/>
                <w:szCs w:val="21"/>
                <w:highlight w:val="none"/>
                <w:vertAlign w:val="superscript"/>
              </w:rPr>
              <w:t>2</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厂区绿化</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restart"/>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储运工程</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原料库</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原料堆存区600 m</w:t>
            </w:r>
            <w:r>
              <w:rPr>
                <w:rFonts w:ascii="Times New Roman" w:hAnsi="Times New Roman"/>
                <w:szCs w:val="21"/>
                <w:highlight w:val="none"/>
                <w:vertAlign w:val="superscript"/>
              </w:rPr>
              <w:t>2</w:t>
            </w:r>
            <w:r>
              <w:rPr>
                <w:rFonts w:ascii="Times New Roman" w:hAnsi="Times New Roman"/>
                <w:szCs w:val="21"/>
                <w:highlight w:val="none"/>
              </w:rPr>
              <w:t>，设置于生产车间内。</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生产车间存放原料</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成品库</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Times New Roman" w:hAnsi="Times New Roman"/>
                <w:szCs w:val="21"/>
                <w:highlight w:val="none"/>
              </w:rPr>
            </w:pPr>
            <w:r>
              <w:rPr>
                <w:rFonts w:ascii="Times New Roman" w:hAnsi="Times New Roman"/>
                <w:szCs w:val="21"/>
                <w:highlight w:val="none"/>
              </w:rPr>
              <w:t>成品堆存区800 m</w:t>
            </w:r>
            <w:r>
              <w:rPr>
                <w:rFonts w:ascii="Times New Roman" w:hAnsi="Times New Roman"/>
                <w:szCs w:val="21"/>
                <w:highlight w:val="none"/>
                <w:vertAlign w:val="superscript"/>
              </w:rPr>
              <w:t>2</w:t>
            </w:r>
            <w:r>
              <w:rPr>
                <w:rFonts w:ascii="Times New Roman" w:hAnsi="Times New Roman"/>
                <w:szCs w:val="21"/>
                <w:highlight w:val="none"/>
              </w:rPr>
              <w:t>，设置于生产车间内。</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置于生产车间内</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restart"/>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hint="eastAsia" w:ascii="Times New Roman" w:hAnsi="Times New Roman"/>
                <w:szCs w:val="21"/>
                <w:highlight w:val="none"/>
              </w:rPr>
              <w:t>公</w:t>
            </w:r>
            <w:r>
              <w:rPr>
                <w:rFonts w:ascii="Times New Roman" w:hAnsi="Times New Roman"/>
                <w:szCs w:val="21"/>
                <w:highlight w:val="none"/>
              </w:rPr>
              <w:t>用工程</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供水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本项目供水水源为武午村自来水，用水量为6270m</w:t>
            </w:r>
            <w:r>
              <w:rPr>
                <w:rFonts w:ascii="Times New Roman" w:hAnsi="Times New Roman"/>
                <w:szCs w:val="21"/>
                <w:highlight w:val="none"/>
                <w:vertAlign w:val="superscript"/>
              </w:rPr>
              <w:t>3</w:t>
            </w:r>
            <w:r>
              <w:rPr>
                <w:rFonts w:ascii="Times New Roman" w:hAnsi="Times New Roman"/>
                <w:szCs w:val="21"/>
                <w:highlight w:val="none"/>
              </w:rPr>
              <w:t>/a。</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ascii="Times New Roman" w:hAnsi="Times New Roman"/>
                <w:szCs w:val="21"/>
                <w:highlight w:val="none"/>
              </w:rPr>
              <w:t>武午村</w:t>
            </w:r>
            <w:r>
              <w:rPr>
                <w:rFonts w:hint="eastAsia" w:ascii="Times New Roman" w:hAnsi="Times New Roman"/>
                <w:szCs w:val="21"/>
                <w:highlight w:val="none"/>
              </w:rPr>
              <w:t>供水</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供电</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本项目电源来自凤城镇变电所，厂内配置4000KVA变压器一台</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ascii="Times New Roman" w:hAnsi="Times New Roman"/>
                <w:szCs w:val="21"/>
                <w:highlight w:val="none"/>
              </w:rPr>
              <w:t>凤城镇变电所</w:t>
            </w:r>
            <w:r>
              <w:rPr>
                <w:rFonts w:hint="eastAsia" w:ascii="Times New Roman" w:hAnsi="Times New Roman"/>
                <w:szCs w:val="21"/>
                <w:highlight w:val="none"/>
              </w:rPr>
              <w:t>供电</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供暖</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本项目采暖季采暖采用集中供热。</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冬季采暖采用集中供热</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331" w:type="dxa"/>
            <w:vMerge w:val="restart"/>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环保工程</w:t>
            </w:r>
          </w:p>
        </w:tc>
        <w:tc>
          <w:tcPr>
            <w:tcW w:w="341"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废气</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中频电炉</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highlight w:val="none"/>
              </w:rPr>
            </w:pPr>
            <w:r>
              <w:rPr>
                <w:rFonts w:ascii="Times New Roman" w:hAnsi="Times New Roman"/>
                <w:szCs w:val="21"/>
                <w:highlight w:val="none"/>
              </w:rPr>
              <w:t>4套集气罩+布袋除尘器，经一座15m高排气筒排放。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龙卷风一次集气系统+可移动式集尘罩二次集气，经</w:t>
            </w:r>
            <w:r>
              <w:rPr>
                <w:rFonts w:ascii="Times New Roman" w:hAnsi="Times New Roman"/>
                <w:szCs w:val="21"/>
                <w:highlight w:val="none"/>
              </w:rPr>
              <w:t>布袋除尘器</w:t>
            </w:r>
            <w:r>
              <w:rPr>
                <w:rFonts w:hint="eastAsia" w:ascii="Times New Roman" w:hAnsi="Times New Roman"/>
                <w:szCs w:val="21"/>
                <w:highlight w:val="none"/>
              </w:rPr>
              <w:t>处理</w:t>
            </w:r>
            <w:r>
              <w:rPr>
                <w:rFonts w:ascii="Times New Roman" w:hAnsi="Times New Roman"/>
                <w:szCs w:val="21"/>
                <w:highlight w:val="none"/>
              </w:rPr>
              <w:t>，15m高排气筒排放</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环保措施加强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球化工序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1套集气罩+布袋除尘器，经一座15m高排气筒排放。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与中频炉共用</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浇注冷却工序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1套集气罩+布袋除尘器，经一座15m高排气筒排放。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配套</w:t>
            </w:r>
            <w:r>
              <w:rPr>
                <w:rFonts w:ascii="Times New Roman" w:hAnsi="Times New Roman"/>
                <w:szCs w:val="21"/>
                <w:highlight w:val="none"/>
              </w:rPr>
              <w:t>集气罩+布袋除尘器，经一</w:t>
            </w:r>
            <w:r>
              <w:rPr>
                <w:rFonts w:hint="eastAsia" w:ascii="Times New Roman" w:hAnsi="Times New Roman"/>
                <w:szCs w:val="21"/>
                <w:highlight w:val="none"/>
              </w:rPr>
              <w:t>根</w:t>
            </w:r>
            <w:r>
              <w:rPr>
                <w:rFonts w:ascii="Times New Roman" w:hAnsi="Times New Roman"/>
                <w:szCs w:val="21"/>
                <w:highlight w:val="none"/>
              </w:rPr>
              <w:t>15m高排气筒排放。</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落砂工序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1套集气罩+布袋除尘器，经一座15m高排气筒排放。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封闭式落砂工序，经布袋除尘器处理，通过</w:t>
            </w:r>
            <w:r>
              <w:rPr>
                <w:rFonts w:ascii="Times New Roman" w:hAnsi="Times New Roman"/>
                <w:szCs w:val="21"/>
                <w:highlight w:val="none"/>
              </w:rPr>
              <w:t>15m高排气筒排放。</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imes New Roman" w:hAnsi="Times New Roman"/>
                <w:szCs w:val="21"/>
                <w:highlight w:val="none"/>
              </w:rPr>
            </w:pPr>
            <w:r>
              <w:rPr>
                <w:rFonts w:ascii="Times New Roman" w:hAnsi="Times New Roman"/>
                <w:szCs w:val="21"/>
                <w:highlight w:val="none"/>
              </w:rPr>
              <w:t>砂处理</w:t>
            </w:r>
            <w:r>
              <w:rPr>
                <w:rFonts w:hint="eastAsia" w:ascii="Times New Roman" w:hAnsi="Times New Roman"/>
                <w:szCs w:val="21"/>
                <w:highlight w:val="none"/>
              </w:rPr>
              <w:t>、</w:t>
            </w:r>
          </w:p>
          <w:p>
            <w:pPr>
              <w:spacing w:line="340" w:lineRule="exact"/>
              <w:jc w:val="center"/>
              <w:rPr>
                <w:rFonts w:ascii="Times New Roman" w:hAnsi="Times New Roman"/>
                <w:szCs w:val="21"/>
                <w:highlight w:val="none"/>
              </w:rPr>
            </w:pPr>
            <w:r>
              <w:rPr>
                <w:rFonts w:ascii="Times New Roman" w:hAnsi="Times New Roman"/>
                <w:szCs w:val="21"/>
                <w:highlight w:val="none"/>
              </w:rPr>
              <w:t>混砂</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4套集气罩+布袋除尘器，经一座15m高排气筒排放。</w:t>
            </w:r>
          </w:p>
        </w:tc>
        <w:tc>
          <w:tcPr>
            <w:tcW w:w="2863" w:type="dxa"/>
            <w:vMerge w:val="restart"/>
            <w:tcBorders>
              <w:top w:val="single" w:color="auto" w:sz="4" w:space="0"/>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highlight w:val="none"/>
              </w:rPr>
              <w:t>1条全制动造型线</w:t>
            </w:r>
            <w:r>
              <w:rPr>
                <w:rFonts w:hint="eastAsia" w:ascii="Times New Roman" w:hAnsi="Times New Roman"/>
                <w:highlight w:val="none"/>
              </w:rPr>
              <w:t>，</w:t>
            </w:r>
            <w:r>
              <w:rPr>
                <w:rFonts w:ascii="Times New Roman" w:hAnsi="Times New Roman"/>
                <w:szCs w:val="21"/>
                <w:highlight w:val="none"/>
              </w:rPr>
              <w:t>旧砂进入料仓供混砂回用。膨润土、煤粉、新砂及旧砂进行混合。砂处理和混砂过程</w:t>
            </w:r>
            <w:r>
              <w:rPr>
                <w:rFonts w:hint="eastAsia" w:ascii="Times New Roman" w:hAnsi="Times New Roman"/>
                <w:szCs w:val="21"/>
                <w:highlight w:val="none"/>
              </w:rPr>
              <w:t>废气</w:t>
            </w:r>
            <w:r>
              <w:rPr>
                <w:rFonts w:ascii="Times New Roman" w:hAnsi="Times New Roman"/>
                <w:szCs w:val="21"/>
                <w:highlight w:val="none"/>
              </w:rPr>
              <w:t>由集气管道收集通过一套布袋除尘器处理。</w:t>
            </w:r>
            <w:r>
              <w:rPr>
                <w:rFonts w:hint="eastAsia" w:ascii="Times New Roman" w:hAnsi="Times New Roman"/>
                <w:szCs w:val="21"/>
                <w:highlight w:val="none"/>
              </w:rPr>
              <w:t>制芯废气配备“布袋除尘+2级</w:t>
            </w:r>
            <w:r>
              <w:rPr>
                <w:rFonts w:ascii="Times New Roman" w:hAnsi="Times New Roman"/>
                <w:szCs w:val="21"/>
                <w:highlight w:val="none"/>
              </w:rPr>
              <w:t>活性炭吸附装置</w:t>
            </w:r>
            <w:r>
              <w:rPr>
                <w:rFonts w:hint="eastAsia" w:ascii="Times New Roman" w:hAnsi="Times New Roman"/>
                <w:szCs w:val="21"/>
                <w:highlight w:val="none"/>
              </w:rPr>
              <w:t>+”处理。制芯废气与砂处理混砂共用排气筒。</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制芯工序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4套集气罩收集后一起进入1套布袋除尘器+2级活性炭吸附装置处理后，由15m高排气筒排放。</w:t>
            </w:r>
          </w:p>
        </w:tc>
        <w:tc>
          <w:tcPr>
            <w:tcW w:w="2863" w:type="dxa"/>
            <w:vMerge w:val="continue"/>
            <w:tcBorders>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抛丸工序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3套集气罩+布袋除尘器，经一座15m高排气筒排放。</w:t>
            </w:r>
          </w:p>
        </w:tc>
        <w:tc>
          <w:tcPr>
            <w:tcW w:w="2863" w:type="dxa"/>
            <w:vMerge w:val="restart"/>
            <w:tcBorders>
              <w:top w:val="single" w:color="auto" w:sz="4" w:space="0"/>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共用1台旋风除尘+布袋除尘器处理，经15m高排气筒排放。</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人工打磨</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10套集气罩+布袋除尘器，经一座15m高排气筒排放。</w:t>
            </w:r>
          </w:p>
        </w:tc>
        <w:tc>
          <w:tcPr>
            <w:tcW w:w="2863" w:type="dxa"/>
            <w:vMerge w:val="continue"/>
            <w:tcBorders>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蘸漆房</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1套集气罩＋过滤棉+活性炭吸附/脱附+催化燃烧处理，经15m高排气筒排放。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szCs w:val="21"/>
                <w:highlight w:val="none"/>
              </w:rPr>
              <w:t>与固化废气共用“UV光氧+活性炭吸附+催化燃烧处理”措施</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晾干车间</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1套集气罩＋过滤棉+活性炭吸附/脱附+催化燃烧处理，经15m高排气筒排放。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未建晾干车间</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喷塑工序</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1套旋风+滤芯二级粉末回收系统处理后经15m的排气筒排放。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经过</w:t>
            </w:r>
            <w:r>
              <w:rPr>
                <w:rFonts w:ascii="Times New Roman" w:hAnsi="Times New Roman"/>
                <w:szCs w:val="21"/>
                <w:highlight w:val="none"/>
              </w:rPr>
              <w:t>二级粉末回收系统</w:t>
            </w:r>
            <w:r>
              <w:rPr>
                <w:rFonts w:hint="eastAsia" w:ascii="Times New Roman" w:hAnsi="Times New Roman"/>
                <w:szCs w:val="21"/>
                <w:highlight w:val="none"/>
              </w:rPr>
              <w:t>+</w:t>
            </w:r>
            <w:r>
              <w:rPr>
                <w:rFonts w:ascii="Times New Roman" w:hAnsi="Times New Roman"/>
                <w:szCs w:val="21"/>
                <w:highlight w:val="none"/>
              </w:rPr>
              <w:t>1套旋风+</w:t>
            </w:r>
            <w:r>
              <w:rPr>
                <w:rFonts w:hint="eastAsia" w:ascii="Times New Roman" w:hAnsi="Times New Roman"/>
                <w:szCs w:val="21"/>
                <w:highlight w:val="none"/>
              </w:rPr>
              <w:t>布袋除尘</w:t>
            </w:r>
            <w:r>
              <w:rPr>
                <w:rFonts w:ascii="Times New Roman" w:hAnsi="Times New Roman"/>
                <w:szCs w:val="21"/>
                <w:highlight w:val="none"/>
              </w:rPr>
              <w:t>处理后</w:t>
            </w:r>
            <w:r>
              <w:rPr>
                <w:rFonts w:hint="eastAsia" w:ascii="Times New Roman" w:hAnsi="Times New Roman"/>
                <w:szCs w:val="21"/>
                <w:highlight w:val="none"/>
              </w:rPr>
              <w:t>，</w:t>
            </w:r>
            <w:r>
              <w:rPr>
                <w:rFonts w:ascii="Times New Roman" w:hAnsi="Times New Roman"/>
                <w:szCs w:val="21"/>
                <w:highlight w:val="none"/>
              </w:rPr>
              <w:t>经15m的排气筒排放。</w:t>
            </w:r>
          </w:p>
        </w:tc>
        <w:tc>
          <w:tcPr>
            <w:tcW w:w="75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固化烘干工序</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1套过滤棉+活性炭吸附/脱附+催化燃烧处理，经15m高排气筒排放。</w:t>
            </w:r>
          </w:p>
        </w:tc>
        <w:tc>
          <w:tcPr>
            <w:tcW w:w="2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highlight w:val="none"/>
              </w:rPr>
            </w:pPr>
            <w:r>
              <w:rPr>
                <w:rFonts w:hint="eastAsia" w:ascii="Times New Roman" w:hAnsi="Times New Roman"/>
                <w:szCs w:val="21"/>
                <w:highlight w:val="none"/>
              </w:rPr>
              <w:t>采用电加热，经“UV光氧+</w:t>
            </w:r>
            <w:r>
              <w:rPr>
                <w:rFonts w:ascii="Times New Roman" w:hAnsi="Times New Roman"/>
                <w:szCs w:val="21"/>
                <w:highlight w:val="none"/>
              </w:rPr>
              <w:t>活性炭吸附</w:t>
            </w:r>
            <w:r>
              <w:rPr>
                <w:rFonts w:hint="eastAsia" w:ascii="Times New Roman" w:hAnsi="Times New Roman"/>
                <w:szCs w:val="21"/>
                <w:highlight w:val="none"/>
              </w:rPr>
              <w:t>+</w:t>
            </w:r>
            <w:r>
              <w:rPr>
                <w:rFonts w:ascii="Times New Roman" w:hAnsi="Times New Roman"/>
                <w:szCs w:val="21"/>
                <w:highlight w:val="none"/>
              </w:rPr>
              <w:t>催化燃烧</w:t>
            </w:r>
            <w:r>
              <w:rPr>
                <w:rFonts w:hint="eastAsia" w:ascii="Times New Roman" w:hAnsi="Times New Roman"/>
                <w:szCs w:val="21"/>
                <w:highlight w:val="none"/>
              </w:rPr>
              <w:t>处理”</w:t>
            </w:r>
            <w:r>
              <w:rPr>
                <w:rFonts w:ascii="Times New Roman" w:hAnsi="Times New Roman"/>
                <w:szCs w:val="21"/>
                <w:highlight w:val="none"/>
              </w:rPr>
              <w:t>，</w:t>
            </w:r>
            <w:r>
              <w:rPr>
                <w:rFonts w:hint="eastAsia" w:ascii="Times New Roman" w:hAnsi="Times New Roman"/>
                <w:szCs w:val="21"/>
                <w:highlight w:val="none"/>
              </w:rPr>
              <w:t>蘸漆废气与固化废气共用处理设施及排气筒。</w:t>
            </w:r>
          </w:p>
        </w:tc>
        <w:tc>
          <w:tcPr>
            <w:tcW w:w="75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bCs/>
                <w:szCs w:val="21"/>
                <w:highlight w:val="none"/>
              </w:rPr>
            </w:pPr>
            <w:r>
              <w:rPr>
                <w:rFonts w:hint="eastAsia" w:ascii="Times New Roman" w:hAnsi="Times New Roman"/>
                <w:bCs/>
                <w:szCs w:val="21"/>
                <w:highlight w:val="none"/>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napToGrid w:val="0"/>
                <w:kern w:val="0"/>
                <w:szCs w:val="21"/>
                <w:highlight w:val="none"/>
              </w:rPr>
              <w:t>原料堆场</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全封闭原料车间，洒水抑尘</w:t>
            </w:r>
          </w:p>
        </w:tc>
        <w:tc>
          <w:tcPr>
            <w:tcW w:w="2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highlight w:val="none"/>
              </w:rPr>
            </w:pPr>
            <w:r>
              <w:rPr>
                <w:rFonts w:ascii="Times New Roman" w:hAnsi="Times New Roman"/>
                <w:szCs w:val="21"/>
                <w:highlight w:val="none"/>
              </w:rPr>
              <w:t>全封闭原料车间，洒水抑尘</w:t>
            </w:r>
          </w:p>
        </w:tc>
        <w:tc>
          <w:tcPr>
            <w:tcW w:w="75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snapToGrid w:val="0"/>
                <w:kern w:val="0"/>
                <w:szCs w:val="21"/>
                <w:highlight w:val="none"/>
              </w:rPr>
            </w:pPr>
            <w:r>
              <w:rPr>
                <w:rFonts w:ascii="Times New Roman" w:hAnsi="Times New Roman"/>
                <w:snapToGrid w:val="0"/>
                <w:kern w:val="0"/>
                <w:szCs w:val="21"/>
                <w:highlight w:val="none"/>
              </w:rPr>
              <w:t>废水</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生活污水</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生活污水经沉淀处理后用于厂区洒水抑尘。</w:t>
            </w:r>
          </w:p>
        </w:tc>
        <w:tc>
          <w:tcPr>
            <w:tcW w:w="2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highlight w:val="none"/>
              </w:rPr>
            </w:pPr>
            <w:r>
              <w:rPr>
                <w:rFonts w:ascii="Times New Roman" w:hAnsi="Times New Roman"/>
                <w:szCs w:val="21"/>
                <w:highlight w:val="none"/>
              </w:rPr>
              <w:t>旱厕，由当地农户清掏，用于施肥，洗漱水用于厂区洒水抑尘</w:t>
            </w:r>
          </w:p>
        </w:tc>
        <w:tc>
          <w:tcPr>
            <w:tcW w:w="75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r>
              <w:rPr>
                <w:rFonts w:ascii="Times New Roman" w:hAnsi="Times New Roman"/>
                <w:szCs w:val="21"/>
                <w:highlight w:val="none"/>
              </w:rPr>
              <w:t>固废</w:t>
            </w: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中频电炉熔炼废渣</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集中收集后可作为建筑材料出售。</w:t>
            </w:r>
          </w:p>
        </w:tc>
        <w:tc>
          <w:tcPr>
            <w:tcW w:w="2863" w:type="dxa"/>
            <w:tcBorders>
              <w:top w:val="single" w:color="auto" w:sz="4" w:space="0"/>
              <w:left w:val="nil"/>
              <w:right w:val="single" w:color="auto" w:sz="4" w:space="0"/>
            </w:tcBorders>
            <w:vAlign w:val="center"/>
          </w:tcPr>
          <w:p>
            <w:pPr>
              <w:widowControl/>
              <w:spacing w:line="300" w:lineRule="exact"/>
              <w:jc w:val="center"/>
              <w:rPr>
                <w:rFonts w:ascii="Times New Roman" w:hAnsi="Times New Roman"/>
                <w:bCs/>
                <w:color w:val="FF0000"/>
                <w:szCs w:val="21"/>
                <w:highlight w:val="none"/>
              </w:rPr>
            </w:pPr>
            <w:r>
              <w:rPr>
                <w:rFonts w:ascii="Times New Roman" w:hAnsi="Times New Roman"/>
                <w:szCs w:val="21"/>
                <w:highlight w:val="none"/>
              </w:rPr>
              <w:t>收集后作为建筑材料</w:t>
            </w:r>
            <w:r>
              <w:rPr>
                <w:rFonts w:hint="eastAsia" w:ascii="Times New Roman" w:hAnsi="Times New Roman"/>
                <w:szCs w:val="21"/>
                <w:highlight w:val="none"/>
              </w:rPr>
              <w:t>外</w:t>
            </w:r>
            <w:r>
              <w:rPr>
                <w:rFonts w:ascii="Times New Roman" w:hAnsi="Times New Roman"/>
                <w:szCs w:val="21"/>
                <w:highlight w:val="none"/>
              </w:rPr>
              <w:t>售</w:t>
            </w:r>
          </w:p>
        </w:tc>
        <w:tc>
          <w:tcPr>
            <w:tcW w:w="753" w:type="dxa"/>
            <w:vMerge w:val="restart"/>
            <w:tcBorders>
              <w:top w:val="single" w:color="auto" w:sz="4" w:space="0"/>
              <w:left w:val="nil"/>
              <w:right w:val="single" w:color="auto" w:sz="4" w:space="0"/>
            </w:tcBorders>
            <w:vAlign w:val="center"/>
          </w:tcPr>
          <w:p>
            <w:pPr>
              <w:spacing w:line="30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废粘土砂</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运往建筑垃圾填埋场。</w:t>
            </w:r>
          </w:p>
        </w:tc>
        <w:tc>
          <w:tcPr>
            <w:tcW w:w="2863" w:type="dxa"/>
            <w:tcBorders>
              <w:left w:val="nil"/>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运往建筑垃圾填埋场。</w:t>
            </w:r>
          </w:p>
        </w:tc>
        <w:tc>
          <w:tcPr>
            <w:tcW w:w="753" w:type="dxa"/>
            <w:vMerge w:val="continue"/>
            <w:tcBorders>
              <w:left w:val="nil"/>
              <w:right w:val="single" w:color="auto" w:sz="4" w:space="0"/>
            </w:tcBorders>
            <w:vAlign w:val="center"/>
          </w:tcPr>
          <w:p>
            <w:pPr>
              <w:spacing w:line="300" w:lineRule="exact"/>
              <w:jc w:val="center"/>
              <w:rPr>
                <w:rFonts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废覆膜砂</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全部由厂家回收。</w:t>
            </w:r>
          </w:p>
        </w:tc>
        <w:tc>
          <w:tcPr>
            <w:tcW w:w="2863" w:type="dxa"/>
            <w:tcBorders>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全部由厂家回收。</w:t>
            </w:r>
          </w:p>
        </w:tc>
        <w:tc>
          <w:tcPr>
            <w:tcW w:w="753" w:type="dxa"/>
            <w:vMerge w:val="continue"/>
            <w:tcBorders>
              <w:left w:val="nil"/>
              <w:right w:val="single" w:color="auto" w:sz="4" w:space="0"/>
            </w:tcBorders>
            <w:vAlign w:val="center"/>
          </w:tcPr>
          <w:p>
            <w:pPr>
              <w:spacing w:line="300" w:lineRule="exact"/>
              <w:jc w:val="center"/>
              <w:rPr>
                <w:rFonts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除尘灰</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集中收集后可作为建筑材料出售。</w:t>
            </w:r>
          </w:p>
        </w:tc>
        <w:tc>
          <w:tcPr>
            <w:tcW w:w="2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color w:val="FF0000"/>
                <w:szCs w:val="21"/>
                <w:highlight w:val="none"/>
              </w:rPr>
            </w:pPr>
            <w:r>
              <w:rPr>
                <w:rFonts w:hint="eastAsia"/>
                <w:highlight w:val="none"/>
              </w:rPr>
              <w:t>外运用做建筑材料</w:t>
            </w:r>
          </w:p>
        </w:tc>
        <w:tc>
          <w:tcPr>
            <w:tcW w:w="753" w:type="dxa"/>
            <w:vMerge w:val="continue"/>
            <w:tcBorders>
              <w:left w:val="nil"/>
              <w:right w:val="single" w:color="auto" w:sz="4" w:space="0"/>
            </w:tcBorders>
            <w:vAlign w:val="center"/>
          </w:tcPr>
          <w:p>
            <w:pPr>
              <w:spacing w:line="300" w:lineRule="exact"/>
              <w:jc w:val="center"/>
              <w:rPr>
                <w:rFonts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Cs w:val="21"/>
                <w:highlight w:val="none"/>
              </w:rPr>
            </w:pPr>
            <w:r>
              <w:rPr>
                <w:rFonts w:ascii="Times New Roman" w:hAnsi="Times New Roman"/>
                <w:szCs w:val="21"/>
                <w:highlight w:val="none"/>
              </w:rPr>
              <w:t>不合格品、浇冒口</w:t>
            </w:r>
          </w:p>
        </w:tc>
        <w:tc>
          <w:tcPr>
            <w:tcW w:w="354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Cs w:val="21"/>
                <w:highlight w:val="none"/>
              </w:rPr>
            </w:pPr>
            <w:r>
              <w:rPr>
                <w:rFonts w:ascii="Times New Roman" w:hAnsi="Times New Roman"/>
                <w:szCs w:val="21"/>
                <w:highlight w:val="none"/>
              </w:rPr>
              <w:t>可回收后作为原料利用。</w:t>
            </w:r>
          </w:p>
        </w:tc>
        <w:tc>
          <w:tcPr>
            <w:tcW w:w="28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Cs/>
                <w:szCs w:val="21"/>
                <w:highlight w:val="none"/>
              </w:rPr>
            </w:pPr>
            <w:r>
              <w:rPr>
                <w:rFonts w:ascii="Times New Roman" w:hAnsi="Times New Roman"/>
                <w:szCs w:val="21"/>
                <w:highlight w:val="none"/>
              </w:rPr>
              <w:t>回收后作为原料利用</w:t>
            </w:r>
          </w:p>
        </w:tc>
        <w:tc>
          <w:tcPr>
            <w:tcW w:w="753"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废油漆桶与漆渣</w:t>
            </w:r>
          </w:p>
        </w:tc>
        <w:tc>
          <w:tcPr>
            <w:tcW w:w="3548" w:type="dxa"/>
            <w:vMerge w:val="restart"/>
            <w:tcBorders>
              <w:top w:val="single" w:color="auto" w:sz="4" w:space="0"/>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szCs w:val="21"/>
                <w:highlight w:val="none"/>
              </w:rPr>
              <w:t>建一座危废暂存间，占地面积10m</w:t>
            </w:r>
            <w:r>
              <w:rPr>
                <w:rFonts w:ascii="Times New Roman" w:hAnsi="Times New Roman"/>
                <w:szCs w:val="21"/>
                <w:highlight w:val="none"/>
                <w:vertAlign w:val="superscript"/>
              </w:rPr>
              <w:t>2</w:t>
            </w:r>
            <w:r>
              <w:rPr>
                <w:rFonts w:ascii="Times New Roman" w:hAnsi="Times New Roman"/>
                <w:szCs w:val="21"/>
                <w:highlight w:val="none"/>
              </w:rPr>
              <w:t>，分区堆存，收集暂存后委托有资质单位处置。按照《危险废物贮存污染控制标准》（GB18597-2001）及《危险废物转移联单管理办法》管理，危废暂存间地面做重点防渗处理，采用抗渗混凝土，混凝土强度等级不应低于C25，抗渗等级不应低于P8，厚度不宜小于250mm。</w:t>
            </w:r>
          </w:p>
        </w:tc>
        <w:tc>
          <w:tcPr>
            <w:tcW w:w="2863" w:type="dxa"/>
            <w:vMerge w:val="restart"/>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ascii="Times New Roman" w:hAnsi="Times New Roman"/>
                <w:szCs w:val="21"/>
                <w:highlight w:val="none"/>
              </w:rPr>
              <w:t>建一座危废暂存间，废油漆桶</w:t>
            </w:r>
            <w:r>
              <w:rPr>
                <w:rFonts w:hint="eastAsia"/>
                <w:highlight w:val="none"/>
              </w:rPr>
              <w:t>由厂家定期回收处置，</w:t>
            </w:r>
            <w:r>
              <w:rPr>
                <w:rFonts w:ascii="Times New Roman" w:hAnsi="Times New Roman"/>
                <w:szCs w:val="21"/>
                <w:highlight w:val="none"/>
              </w:rPr>
              <w:t>漆渣</w:t>
            </w:r>
            <w:r>
              <w:rPr>
                <w:rFonts w:hint="eastAsia" w:ascii="Times New Roman" w:hAnsi="Times New Roman"/>
                <w:szCs w:val="21"/>
                <w:highlight w:val="none"/>
              </w:rPr>
              <w:t>、</w:t>
            </w:r>
            <w:r>
              <w:rPr>
                <w:rFonts w:ascii="Times New Roman" w:hAnsi="Times New Roman"/>
                <w:szCs w:val="21"/>
                <w:highlight w:val="none"/>
              </w:rPr>
              <w:t>废活性炭</w:t>
            </w:r>
            <w:r>
              <w:rPr>
                <w:rFonts w:hint="eastAsia" w:ascii="Times New Roman" w:hAnsi="Times New Roman"/>
                <w:szCs w:val="21"/>
                <w:highlight w:val="none"/>
              </w:rPr>
              <w:t>、</w:t>
            </w:r>
            <w:r>
              <w:rPr>
                <w:rFonts w:ascii="Times New Roman" w:hAnsi="Times New Roman"/>
                <w:szCs w:val="21"/>
                <w:highlight w:val="none"/>
              </w:rPr>
              <w:t>废矿物油、废棉纱</w:t>
            </w:r>
            <w:r>
              <w:rPr>
                <w:rFonts w:hint="eastAsia"/>
                <w:highlight w:val="none"/>
              </w:rPr>
              <w:t>定期送往有资质单位处置；</w:t>
            </w:r>
            <w:r>
              <w:rPr>
                <w:rFonts w:ascii="Times New Roman" w:hAnsi="Times New Roman"/>
                <w:szCs w:val="21"/>
                <w:highlight w:val="none"/>
              </w:rPr>
              <w:t>危废暂存间</w:t>
            </w:r>
            <w:r>
              <w:rPr>
                <w:rFonts w:hint="eastAsia" w:ascii="Times New Roman" w:hAnsi="Times New Roman"/>
                <w:szCs w:val="21"/>
                <w:highlight w:val="none"/>
              </w:rPr>
              <w:t>地面</w:t>
            </w:r>
            <w:r>
              <w:rPr>
                <w:rFonts w:ascii="Times New Roman" w:hAnsi="Times New Roman"/>
                <w:szCs w:val="21"/>
                <w:highlight w:val="none"/>
              </w:rPr>
              <w:t>采用抗渗混凝土</w:t>
            </w:r>
            <w:r>
              <w:rPr>
                <w:rFonts w:hint="eastAsia" w:ascii="Times New Roman" w:hAnsi="Times New Roman"/>
                <w:szCs w:val="21"/>
                <w:highlight w:val="none"/>
              </w:rPr>
              <w:t>，周围设有围堰，喷涂防渗漆</w:t>
            </w:r>
            <w:r>
              <w:rPr>
                <w:rFonts w:ascii="Times New Roman" w:hAnsi="Times New Roman"/>
                <w:szCs w:val="21"/>
                <w:highlight w:val="none"/>
              </w:rPr>
              <w:t>处理</w:t>
            </w:r>
          </w:p>
        </w:tc>
        <w:tc>
          <w:tcPr>
            <w:tcW w:w="753" w:type="dxa"/>
            <w:vMerge w:val="restart"/>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废活性炭</w:t>
            </w:r>
          </w:p>
        </w:tc>
        <w:tc>
          <w:tcPr>
            <w:tcW w:w="3548" w:type="dxa"/>
            <w:vMerge w:val="continue"/>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p>
        </w:tc>
        <w:tc>
          <w:tcPr>
            <w:tcW w:w="2863" w:type="dxa"/>
            <w:vMerge w:val="continue"/>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p>
        </w:tc>
        <w:tc>
          <w:tcPr>
            <w:tcW w:w="753" w:type="dxa"/>
            <w:vMerge w:val="continue"/>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废矿物油、废棉纱</w:t>
            </w:r>
          </w:p>
        </w:tc>
        <w:tc>
          <w:tcPr>
            <w:tcW w:w="3548" w:type="dxa"/>
            <w:vMerge w:val="continue"/>
            <w:tcBorders>
              <w:left w:val="nil"/>
              <w:bottom w:val="single" w:color="auto" w:sz="4" w:space="0"/>
              <w:right w:val="single" w:color="auto" w:sz="4" w:space="0"/>
            </w:tcBorders>
            <w:vAlign w:val="center"/>
          </w:tcPr>
          <w:p>
            <w:pPr>
              <w:widowControl/>
              <w:spacing w:line="340" w:lineRule="exact"/>
              <w:jc w:val="center"/>
              <w:rPr>
                <w:rFonts w:ascii="Times New Roman" w:hAnsi="Times New Roman"/>
                <w:bCs/>
                <w:szCs w:val="21"/>
                <w:highlight w:val="none"/>
              </w:rPr>
            </w:pPr>
          </w:p>
        </w:tc>
        <w:tc>
          <w:tcPr>
            <w:tcW w:w="2863" w:type="dxa"/>
            <w:vMerge w:val="continue"/>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p>
        </w:tc>
        <w:tc>
          <w:tcPr>
            <w:tcW w:w="753" w:type="dxa"/>
            <w:vMerge w:val="continue"/>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vMerge w:val="continue"/>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职工</w:t>
            </w:r>
          </w:p>
          <w:p>
            <w:pPr>
              <w:spacing w:line="340" w:lineRule="exact"/>
              <w:jc w:val="center"/>
              <w:rPr>
                <w:rFonts w:ascii="Times New Roman" w:hAnsi="Times New Roman"/>
                <w:szCs w:val="21"/>
                <w:highlight w:val="none"/>
              </w:rPr>
            </w:pPr>
            <w:r>
              <w:rPr>
                <w:rFonts w:ascii="Times New Roman" w:hAnsi="Times New Roman"/>
                <w:szCs w:val="21"/>
                <w:highlight w:val="none"/>
              </w:rPr>
              <w:t>生活垃圾</w:t>
            </w:r>
          </w:p>
        </w:tc>
        <w:tc>
          <w:tcPr>
            <w:tcW w:w="3548" w:type="dxa"/>
            <w:tcBorders>
              <w:top w:val="single" w:color="auto" w:sz="4" w:space="0"/>
              <w:left w:val="nil"/>
              <w:bottom w:val="single" w:color="auto" w:sz="4" w:space="0"/>
              <w:right w:val="single" w:color="auto" w:sz="4" w:space="0"/>
            </w:tcBorders>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厂区设封闭式垃圾箱集中收集后运至环卫部门指定地点</w:t>
            </w:r>
          </w:p>
        </w:tc>
        <w:tc>
          <w:tcPr>
            <w:tcW w:w="2863" w:type="dxa"/>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highlight w:val="none"/>
              </w:rPr>
              <w:t>集中收集，送当地环卫部门指定地点统一处置</w:t>
            </w:r>
          </w:p>
        </w:tc>
        <w:tc>
          <w:tcPr>
            <w:tcW w:w="753" w:type="dxa"/>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331" w:type="dxa"/>
            <w:vMerge w:val="continue"/>
            <w:tcBorders>
              <w:left w:val="single" w:color="auto" w:sz="4" w:space="0"/>
              <w:right w:val="single" w:color="auto" w:sz="4" w:space="0"/>
            </w:tcBorders>
            <w:vAlign w:val="center"/>
          </w:tcPr>
          <w:p>
            <w:pPr>
              <w:spacing w:line="340" w:lineRule="exact"/>
              <w:jc w:val="center"/>
              <w:rPr>
                <w:rFonts w:ascii="Times New Roman" w:hAnsi="Times New Roman"/>
                <w:szCs w:val="21"/>
                <w:highlight w:val="none"/>
              </w:rPr>
            </w:pPr>
          </w:p>
        </w:tc>
        <w:tc>
          <w:tcPr>
            <w:tcW w:w="341" w:type="dxa"/>
            <w:tcBorders>
              <w:left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r>
              <w:rPr>
                <w:rFonts w:ascii="Times New Roman" w:hAnsi="Times New Roman"/>
                <w:szCs w:val="21"/>
                <w:highlight w:val="none"/>
              </w:rPr>
              <w:t>噪声</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r>
              <w:rPr>
                <w:rFonts w:ascii="Times New Roman" w:hAnsi="Times New Roman"/>
                <w:szCs w:val="21"/>
                <w:highlight w:val="none"/>
              </w:rPr>
              <w:t>风机、水泵、抛丸机、落砂机等</w:t>
            </w:r>
          </w:p>
        </w:tc>
        <w:tc>
          <w:tcPr>
            <w:tcW w:w="354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Times New Roman" w:hAnsi="Times New Roman"/>
                <w:szCs w:val="21"/>
                <w:highlight w:val="none"/>
              </w:rPr>
            </w:pPr>
            <w:r>
              <w:rPr>
                <w:rFonts w:ascii="Times New Roman" w:hAnsi="Times New Roman"/>
                <w:szCs w:val="21"/>
                <w:highlight w:val="none"/>
              </w:rPr>
              <w:t>置于封闭车间内，厂房隔音；抛丸机等设备设减振基础、风机口加装消音装置</w:t>
            </w:r>
          </w:p>
        </w:tc>
        <w:tc>
          <w:tcPr>
            <w:tcW w:w="2863" w:type="dxa"/>
            <w:tcBorders>
              <w:left w:val="nil"/>
              <w:right w:val="single" w:color="auto" w:sz="4" w:space="0"/>
            </w:tcBorders>
            <w:vAlign w:val="center"/>
          </w:tcPr>
          <w:p>
            <w:pPr>
              <w:widowControl/>
              <w:spacing w:line="340" w:lineRule="exact"/>
              <w:jc w:val="center"/>
              <w:rPr>
                <w:rFonts w:ascii="Times New Roman" w:hAnsi="Times New Roman"/>
                <w:szCs w:val="21"/>
                <w:highlight w:val="none"/>
              </w:rPr>
            </w:pPr>
            <w:r>
              <w:rPr>
                <w:rFonts w:hint="eastAsia" w:ascii="Times New Roman" w:hAnsi="Times New Roman"/>
                <w:szCs w:val="21"/>
                <w:highlight w:val="none"/>
              </w:rPr>
              <w:t>生产设备全部安装在封闭车间内，进行基础减震，建筑隔音等</w:t>
            </w:r>
          </w:p>
        </w:tc>
        <w:tc>
          <w:tcPr>
            <w:tcW w:w="753" w:type="dxa"/>
            <w:tcBorders>
              <w:left w:val="nil"/>
              <w:right w:val="single" w:color="auto" w:sz="4" w:space="0"/>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与环评一致</w:t>
            </w:r>
          </w:p>
        </w:tc>
      </w:tr>
    </w:tbl>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（二）环保审批情况及建设过程</w:t>
      </w:r>
    </w:p>
    <w:p>
      <w:pPr>
        <w:spacing w:line="440" w:lineRule="exact"/>
        <w:ind w:firstLine="480" w:firstLineChars="200"/>
        <w:rPr>
          <w:rFonts w:ascii="Times New Roman" w:hAnsi="Times New Roman"/>
          <w:sz w:val="24"/>
          <w:szCs w:val="24"/>
          <w:highlight w:val="none"/>
        </w:rPr>
      </w:pPr>
      <w:r>
        <w:rPr>
          <w:rFonts w:ascii="Times New Roman" w:hAnsi="宋体"/>
          <w:kern w:val="0"/>
          <w:sz w:val="24"/>
          <w:szCs w:val="24"/>
          <w:highlight w:val="none"/>
        </w:rPr>
        <w:t>20</w:t>
      </w:r>
      <w:r>
        <w:rPr>
          <w:rFonts w:hint="eastAsia" w:ascii="Times New Roman" w:hAnsi="宋体"/>
          <w:kern w:val="0"/>
          <w:sz w:val="24"/>
          <w:szCs w:val="24"/>
          <w:highlight w:val="none"/>
        </w:rPr>
        <w:t>20</w:t>
      </w:r>
      <w:r>
        <w:rPr>
          <w:rFonts w:ascii="Times New Roman" w:hAnsi="宋体"/>
          <w:kern w:val="0"/>
          <w:sz w:val="24"/>
          <w:szCs w:val="24"/>
          <w:highlight w:val="none"/>
        </w:rPr>
        <w:t>年</w:t>
      </w:r>
      <w:r>
        <w:rPr>
          <w:rFonts w:hint="eastAsia" w:ascii="Times New Roman" w:hAnsi="宋体"/>
          <w:kern w:val="0"/>
          <w:sz w:val="24"/>
          <w:szCs w:val="24"/>
          <w:highlight w:val="none"/>
        </w:rPr>
        <w:t>5</w:t>
      </w:r>
      <w:r>
        <w:rPr>
          <w:rFonts w:ascii="Times New Roman" w:hAnsi="宋体"/>
          <w:kern w:val="0"/>
          <w:sz w:val="24"/>
          <w:szCs w:val="24"/>
          <w:highlight w:val="none"/>
        </w:rPr>
        <w:t>月</w:t>
      </w:r>
      <w:r>
        <w:rPr>
          <w:rFonts w:hint="eastAsia" w:ascii="Times New Roman" w:hAnsi="宋体"/>
          <w:kern w:val="0"/>
          <w:sz w:val="24"/>
          <w:szCs w:val="24"/>
          <w:highlight w:val="none"/>
        </w:rPr>
        <w:t>，山东永宏环保技术咨询有限公司</w:t>
      </w:r>
      <w:r>
        <w:rPr>
          <w:rFonts w:ascii="Times New Roman" w:hAnsi="宋体"/>
          <w:kern w:val="0"/>
          <w:sz w:val="24"/>
          <w:szCs w:val="24"/>
          <w:highlight w:val="none"/>
        </w:rPr>
        <w:t>编制完成了《文水宝吉铸钢加工有限责任公司年产13000吨健身用品项目环境影响报告表》</w:t>
      </w:r>
      <w:r>
        <w:rPr>
          <w:rFonts w:hint="eastAsia" w:ascii="Times New Roman" w:hAnsi="宋体"/>
          <w:kern w:val="0"/>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20</w:t>
      </w:r>
      <w:r>
        <w:rPr>
          <w:rFonts w:hint="eastAsia" w:ascii="Times New Roman" w:hAnsi="Times New Roman"/>
          <w:sz w:val="24"/>
          <w:szCs w:val="24"/>
          <w:highlight w:val="none"/>
        </w:rPr>
        <w:t>20</w:t>
      </w:r>
      <w:r>
        <w:rPr>
          <w:rFonts w:ascii="Times New Roman" w:hAnsi="Times New Roman"/>
          <w:sz w:val="24"/>
          <w:szCs w:val="24"/>
          <w:highlight w:val="none"/>
        </w:rPr>
        <w:t>年</w:t>
      </w:r>
      <w:r>
        <w:rPr>
          <w:rFonts w:hint="eastAsia" w:ascii="Times New Roman" w:hAnsi="Times New Roman"/>
          <w:sz w:val="24"/>
          <w:szCs w:val="24"/>
          <w:highlight w:val="none"/>
        </w:rPr>
        <w:t>7</w:t>
      </w:r>
      <w:r>
        <w:rPr>
          <w:rFonts w:ascii="Times New Roman" w:hAnsi="Times New Roman"/>
          <w:sz w:val="24"/>
          <w:szCs w:val="24"/>
          <w:highlight w:val="none"/>
        </w:rPr>
        <w:t>月</w:t>
      </w:r>
      <w:r>
        <w:rPr>
          <w:rFonts w:hint="eastAsia" w:ascii="Times New Roman" w:hAnsi="Times New Roman"/>
          <w:sz w:val="24"/>
          <w:szCs w:val="24"/>
          <w:highlight w:val="none"/>
        </w:rPr>
        <w:t>1</w:t>
      </w:r>
      <w:r>
        <w:rPr>
          <w:rFonts w:ascii="Times New Roman" w:hAnsi="Times New Roman"/>
          <w:sz w:val="24"/>
          <w:szCs w:val="24"/>
          <w:highlight w:val="none"/>
        </w:rPr>
        <w:t>日文水县环境保护局以文环行审[20</w:t>
      </w:r>
      <w:r>
        <w:rPr>
          <w:rFonts w:hint="eastAsia" w:ascii="Times New Roman" w:hAnsi="Times New Roman"/>
          <w:sz w:val="24"/>
          <w:szCs w:val="24"/>
          <w:highlight w:val="none"/>
        </w:rPr>
        <w:t>20</w:t>
      </w:r>
      <w:r>
        <w:rPr>
          <w:rFonts w:ascii="Times New Roman" w:hAnsi="Times New Roman"/>
          <w:sz w:val="24"/>
          <w:szCs w:val="24"/>
          <w:highlight w:val="none"/>
        </w:rPr>
        <w:t>]</w:t>
      </w:r>
      <w:r>
        <w:rPr>
          <w:rFonts w:hint="eastAsia" w:ascii="Times New Roman" w:hAnsi="Times New Roman"/>
          <w:sz w:val="24"/>
          <w:szCs w:val="24"/>
          <w:highlight w:val="none"/>
        </w:rPr>
        <w:t>37</w:t>
      </w:r>
      <w:r>
        <w:rPr>
          <w:rFonts w:ascii="Times New Roman" w:hAnsi="Times New Roman"/>
          <w:sz w:val="24"/>
          <w:szCs w:val="24"/>
          <w:highlight w:val="none"/>
        </w:rPr>
        <w:t>号</w:t>
      </w:r>
      <w:r>
        <w:rPr>
          <w:rFonts w:hint="eastAsia" w:ascii="Times New Roman" w:hAnsi="Times New Roman"/>
          <w:sz w:val="24"/>
          <w:szCs w:val="24"/>
          <w:highlight w:val="none"/>
        </w:rPr>
        <w:t>文</w:t>
      </w:r>
      <w:r>
        <w:rPr>
          <w:rFonts w:ascii="Times New Roman" w:hAnsi="Times New Roman"/>
          <w:sz w:val="24"/>
          <w:szCs w:val="24"/>
          <w:highlight w:val="none"/>
        </w:rPr>
        <w:t>对本建设项目环境影响报告表予以批复</w:t>
      </w:r>
      <w:r>
        <w:rPr>
          <w:rFonts w:hint="eastAsia" w:ascii="Times New Roman" w:hAnsi="Times New Roman"/>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项</w:t>
      </w:r>
      <w:r>
        <w:rPr>
          <w:rFonts w:hint="eastAsia" w:ascii="Times New Roman" w:hAnsi="Times New Roman"/>
          <w:sz w:val="24"/>
          <w:szCs w:val="24"/>
          <w:highlight w:val="none"/>
        </w:rPr>
        <w:t>目于</w:t>
      </w:r>
      <w:r>
        <w:rPr>
          <w:rFonts w:ascii="Times New Roman" w:hAnsi="Times New Roman"/>
          <w:sz w:val="24"/>
          <w:szCs w:val="24"/>
          <w:highlight w:val="none"/>
        </w:rPr>
        <w:t>20</w:t>
      </w:r>
      <w:r>
        <w:rPr>
          <w:rFonts w:hint="eastAsia" w:ascii="Times New Roman" w:hAnsi="Times New Roman"/>
          <w:sz w:val="24"/>
          <w:szCs w:val="24"/>
          <w:highlight w:val="none"/>
        </w:rPr>
        <w:t>20</w:t>
      </w:r>
      <w:r>
        <w:rPr>
          <w:rFonts w:ascii="Times New Roman" w:hAnsi="Times New Roman"/>
          <w:sz w:val="24"/>
          <w:szCs w:val="24"/>
          <w:highlight w:val="none"/>
        </w:rPr>
        <w:t>年</w:t>
      </w:r>
      <w:r>
        <w:rPr>
          <w:rFonts w:hint="eastAsia" w:ascii="Times New Roman" w:hAnsi="Times New Roman"/>
          <w:sz w:val="24"/>
          <w:szCs w:val="24"/>
          <w:highlight w:val="none"/>
        </w:rPr>
        <w:t>6</w:t>
      </w:r>
      <w:r>
        <w:rPr>
          <w:rFonts w:ascii="Times New Roman" w:hAnsi="Times New Roman"/>
          <w:sz w:val="24"/>
          <w:szCs w:val="24"/>
          <w:highlight w:val="none"/>
        </w:rPr>
        <w:t>月开工建设，202</w:t>
      </w:r>
      <w:r>
        <w:rPr>
          <w:rFonts w:hint="eastAsia" w:ascii="Times New Roman" w:hAnsi="Times New Roman"/>
          <w:sz w:val="24"/>
          <w:szCs w:val="24"/>
          <w:highlight w:val="none"/>
        </w:rPr>
        <w:t>1</w:t>
      </w:r>
      <w:r>
        <w:rPr>
          <w:rFonts w:ascii="Times New Roman" w:hAnsi="Times New Roman"/>
          <w:sz w:val="24"/>
          <w:szCs w:val="24"/>
          <w:highlight w:val="none"/>
        </w:rPr>
        <w:t>年11月</w:t>
      </w:r>
      <w:r>
        <w:rPr>
          <w:rFonts w:hint="eastAsia" w:ascii="Times New Roman" w:hAnsi="Times New Roman"/>
          <w:sz w:val="24"/>
          <w:szCs w:val="24"/>
          <w:highlight w:val="none"/>
        </w:rPr>
        <w:t>基本</w:t>
      </w:r>
      <w:r>
        <w:rPr>
          <w:rFonts w:ascii="Times New Roman" w:hAnsi="Times New Roman"/>
          <w:sz w:val="24"/>
          <w:szCs w:val="24"/>
          <w:highlight w:val="none"/>
        </w:rPr>
        <w:t>建设完成</w:t>
      </w:r>
      <w:r>
        <w:rPr>
          <w:rFonts w:hint="eastAsia" w:ascii="Times New Roman" w:hAnsi="Times New Roman"/>
          <w:sz w:val="24"/>
          <w:szCs w:val="24"/>
          <w:highlight w:val="none"/>
        </w:rPr>
        <w:t>，配套环保设施改造于2</w:t>
      </w:r>
      <w:r>
        <w:rPr>
          <w:rFonts w:ascii="Times New Roman" w:hAnsi="Times New Roman"/>
          <w:sz w:val="24"/>
          <w:szCs w:val="24"/>
          <w:highlight w:val="none"/>
        </w:rPr>
        <w:t>022</w:t>
      </w:r>
      <w:r>
        <w:rPr>
          <w:rFonts w:hint="eastAsia" w:ascii="Times New Roman" w:hAnsi="Times New Roman"/>
          <w:sz w:val="24"/>
          <w:szCs w:val="24"/>
          <w:highlight w:val="none"/>
        </w:rPr>
        <w:t>年5月建设完成。</w:t>
      </w:r>
      <w:r>
        <w:rPr>
          <w:rFonts w:ascii="Times New Roman" w:hAnsi="Times New Roman"/>
          <w:sz w:val="24"/>
          <w:szCs w:val="24"/>
          <w:highlight w:val="none"/>
        </w:rPr>
        <w:t>202</w:t>
      </w:r>
      <w:r>
        <w:rPr>
          <w:rFonts w:hint="eastAsia" w:ascii="Times New Roman" w:hAnsi="Times New Roman"/>
          <w:sz w:val="24"/>
          <w:szCs w:val="24"/>
          <w:highlight w:val="none"/>
        </w:rPr>
        <w:t>2</w:t>
      </w:r>
      <w:r>
        <w:rPr>
          <w:rFonts w:ascii="Times New Roman" w:hAnsi="Times New Roman"/>
          <w:sz w:val="24"/>
          <w:szCs w:val="24"/>
          <w:highlight w:val="none"/>
        </w:rPr>
        <w:t>年</w:t>
      </w:r>
      <w:r>
        <w:rPr>
          <w:rFonts w:hint="eastAsia" w:ascii="Times New Roman" w:hAnsi="Times New Roman"/>
          <w:sz w:val="24"/>
          <w:szCs w:val="24"/>
          <w:highlight w:val="none"/>
        </w:rPr>
        <w:t>0</w:t>
      </w:r>
      <w:r>
        <w:rPr>
          <w:rFonts w:ascii="Times New Roman" w:hAnsi="Times New Roman"/>
          <w:sz w:val="24"/>
          <w:szCs w:val="24"/>
          <w:highlight w:val="none"/>
        </w:rPr>
        <w:t>1月13日公司申领了排污许可证，</w:t>
      </w:r>
      <w:r>
        <w:rPr>
          <w:rFonts w:hint="eastAsia" w:ascii="Times New Roman" w:hAnsi="Times New Roman"/>
          <w:sz w:val="24"/>
          <w:szCs w:val="24"/>
          <w:highlight w:val="none"/>
        </w:rPr>
        <w:t>证书</w:t>
      </w:r>
      <w:r>
        <w:rPr>
          <w:rFonts w:ascii="Times New Roman" w:hAnsi="Times New Roman"/>
          <w:sz w:val="24"/>
          <w:szCs w:val="24"/>
          <w:highlight w:val="none"/>
        </w:rPr>
        <w:t>编号为91141121MA0</w:t>
      </w:r>
      <w:r>
        <w:rPr>
          <w:rFonts w:hint="eastAsia" w:ascii="Times New Roman" w:hAnsi="Times New Roman"/>
          <w:sz w:val="24"/>
          <w:szCs w:val="24"/>
          <w:highlight w:val="none"/>
        </w:rPr>
        <w:t>K119J65001Q</w:t>
      </w:r>
      <w:r>
        <w:rPr>
          <w:rFonts w:ascii="Times New Roman" w:hAnsi="Times New Roman"/>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（三）投资情况</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本工程总投资</w:t>
      </w:r>
      <w:r>
        <w:rPr>
          <w:rFonts w:hint="eastAsia" w:ascii="Times New Roman" w:hAnsi="Times New Roman"/>
          <w:sz w:val="24"/>
          <w:szCs w:val="24"/>
          <w:highlight w:val="none"/>
        </w:rPr>
        <w:t>800</w:t>
      </w:r>
      <w:r>
        <w:rPr>
          <w:rFonts w:ascii="Times New Roman" w:hAnsi="Times New Roman"/>
          <w:sz w:val="24"/>
          <w:szCs w:val="24"/>
          <w:highlight w:val="none"/>
        </w:rPr>
        <w:t>万元，环保投资约为</w:t>
      </w:r>
      <w:r>
        <w:rPr>
          <w:rFonts w:hint="eastAsia" w:ascii="Times New Roman" w:hAnsi="Times New Roman"/>
          <w:sz w:val="24"/>
          <w:szCs w:val="24"/>
          <w:highlight w:val="none"/>
        </w:rPr>
        <w:t>54.5</w:t>
      </w:r>
      <w:r>
        <w:rPr>
          <w:rFonts w:ascii="Times New Roman" w:hAnsi="Times New Roman"/>
          <w:sz w:val="24"/>
          <w:szCs w:val="24"/>
          <w:highlight w:val="none"/>
        </w:rPr>
        <w:t>万元，占建设项目总投资的</w:t>
      </w:r>
      <w:r>
        <w:rPr>
          <w:rFonts w:hint="eastAsia" w:ascii="Times New Roman" w:hAnsi="Times New Roman"/>
          <w:sz w:val="24"/>
          <w:szCs w:val="24"/>
          <w:highlight w:val="none"/>
        </w:rPr>
        <w:t>14.67</w:t>
      </w:r>
      <w:r>
        <w:rPr>
          <w:rFonts w:ascii="Times New Roman" w:hAnsi="Times New Roman"/>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（四）验收范围</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本次竣工环保验收范围为</w:t>
      </w:r>
      <w:r>
        <w:rPr>
          <w:rFonts w:ascii="Times New Roman" w:hAnsi="宋体"/>
          <w:kern w:val="0"/>
          <w:sz w:val="24"/>
          <w:szCs w:val="24"/>
          <w:highlight w:val="none"/>
        </w:rPr>
        <w:t>文水宝吉铸钢加工有限责任公司年产13000吨健身用品项目</w:t>
      </w:r>
      <w:r>
        <w:rPr>
          <w:rFonts w:ascii="Times New Roman" w:hAnsi="Times New Roman"/>
          <w:sz w:val="24"/>
          <w:szCs w:val="24"/>
          <w:highlight w:val="none"/>
        </w:rPr>
        <w:t>及配套的环保设施。</w:t>
      </w:r>
    </w:p>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二、工程变动情况</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根据</w:t>
      </w:r>
      <w:r>
        <w:rPr>
          <w:rFonts w:ascii="Times New Roman" w:hAnsi="Times New Roman"/>
          <w:sz w:val="24"/>
          <w:szCs w:val="24"/>
          <w:highlight w:val="none"/>
        </w:rPr>
        <w:t>现场调查，企业实际建设情况与环评及批复要求内容相比，本项目性质、地点、生产工艺</w:t>
      </w:r>
      <w:r>
        <w:rPr>
          <w:rFonts w:hint="eastAsia" w:ascii="Times New Roman" w:hAnsi="Times New Roman"/>
          <w:sz w:val="24"/>
          <w:szCs w:val="24"/>
          <w:highlight w:val="none"/>
        </w:rPr>
        <w:t>、环保设施</w:t>
      </w:r>
      <w:r>
        <w:rPr>
          <w:rFonts w:ascii="Times New Roman" w:hAnsi="Times New Roman"/>
          <w:sz w:val="24"/>
          <w:szCs w:val="24"/>
          <w:highlight w:val="none"/>
        </w:rPr>
        <w:t>均未发生变化</w:t>
      </w:r>
      <w:r>
        <w:rPr>
          <w:rFonts w:hint="eastAsia" w:ascii="Times New Roman" w:hAnsi="Times New Roman"/>
          <w:sz w:val="24"/>
          <w:szCs w:val="24"/>
          <w:highlight w:val="none"/>
        </w:rPr>
        <w:t>，具体变化如下表：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2"/>
        <w:gridCol w:w="2841"/>
        <w:gridCol w:w="2523"/>
        <w:gridCol w:w="148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590"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变动环节</w:t>
            </w:r>
          </w:p>
        </w:tc>
        <w:tc>
          <w:tcPr>
            <w:tcW w:w="1608"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环评阶段</w:t>
            </w:r>
          </w:p>
        </w:tc>
        <w:tc>
          <w:tcPr>
            <w:tcW w:w="1428"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验收阶段</w:t>
            </w:r>
          </w:p>
        </w:tc>
        <w:tc>
          <w:tcPr>
            <w:tcW w:w="839"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变动说明</w:t>
            </w:r>
          </w:p>
        </w:tc>
        <w:tc>
          <w:tcPr>
            <w:tcW w:w="534"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熔炼、冷却、原材料车间</w:t>
            </w:r>
          </w:p>
        </w:tc>
        <w:tc>
          <w:tcPr>
            <w:tcW w:w="1608"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1座，位于厂区中部，占地面积1200 m</w:t>
            </w:r>
            <w:r>
              <w:rPr>
                <w:rFonts w:ascii="Times New Roman" w:hAnsi="Times New Roman"/>
                <w:szCs w:val="21"/>
                <w:highlight w:val="none"/>
                <w:vertAlign w:val="superscript"/>
              </w:rPr>
              <w:t>2</w:t>
            </w:r>
            <w:r>
              <w:rPr>
                <w:rFonts w:ascii="Times New Roman" w:hAnsi="Times New Roman"/>
                <w:szCs w:val="21"/>
                <w:highlight w:val="none"/>
              </w:rPr>
              <w:t>，全封闭彩钢结构，内置2t/h中频电炉4台。</w:t>
            </w:r>
          </w:p>
        </w:tc>
        <w:tc>
          <w:tcPr>
            <w:tcW w:w="1428"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ascii="Times New Roman" w:hAnsi="Times New Roman"/>
                <w:szCs w:val="21"/>
                <w:highlight w:val="none"/>
              </w:rPr>
              <w:t>全封闭彩钢结构，</w:t>
            </w:r>
            <w:r>
              <w:rPr>
                <w:rFonts w:hint="eastAsia" w:ascii="Times New Roman" w:hAnsi="Times New Roman"/>
                <w:szCs w:val="21"/>
                <w:highlight w:val="none"/>
              </w:rPr>
              <w:t>占地面积1000m</w:t>
            </w:r>
            <w:r>
              <w:rPr>
                <w:rFonts w:hint="eastAsia" w:ascii="Times New Roman" w:hAnsi="Times New Roman"/>
                <w:szCs w:val="21"/>
                <w:highlight w:val="none"/>
                <w:vertAlign w:val="superscript"/>
              </w:rPr>
              <w:t>2</w:t>
            </w:r>
            <w:r>
              <w:rPr>
                <w:rFonts w:hint="eastAsia" w:ascii="Times New Roman" w:hAnsi="Times New Roman"/>
                <w:szCs w:val="21"/>
                <w:highlight w:val="none"/>
              </w:rPr>
              <w:t>，内置2台3t/h中频炉和1台2t/h中频炉（备用）</w:t>
            </w:r>
          </w:p>
        </w:tc>
        <w:tc>
          <w:tcPr>
            <w:tcW w:w="839" w:type="pct"/>
            <w:shd w:val="clear" w:color="auto" w:fill="auto"/>
            <w:vAlign w:val="center"/>
          </w:tcPr>
          <w:p>
            <w:pPr>
              <w:adjustRightInd w:val="0"/>
              <w:snapToGrid w:val="0"/>
              <w:spacing w:line="360" w:lineRule="exact"/>
              <w:jc w:val="center"/>
              <w:rPr>
                <w:rFonts w:ascii="Times New Roman" w:hAnsi="Times New Roman"/>
                <w:bCs/>
                <w:szCs w:val="21"/>
                <w:highlight w:val="none"/>
              </w:rPr>
            </w:pPr>
            <w:r>
              <w:rPr>
                <w:rFonts w:hint="eastAsia" w:ascii="Times New Roman" w:hAnsi="Times New Roman"/>
                <w:szCs w:val="21"/>
                <w:highlight w:val="none"/>
              </w:rPr>
              <w:t>总吨位不变</w:t>
            </w:r>
          </w:p>
        </w:tc>
        <w:tc>
          <w:tcPr>
            <w:tcW w:w="534"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hint="eastAsia" w:ascii="Times New Roman" w:hAnsi="Times New Roman"/>
                <w:szCs w:val="21"/>
                <w:highlight w:val="none"/>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球化工序</w:t>
            </w:r>
          </w:p>
        </w:tc>
        <w:tc>
          <w:tcPr>
            <w:tcW w:w="1608" w:type="pct"/>
            <w:shd w:val="clear" w:color="auto" w:fill="auto"/>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1套集气罩+布袋除尘器，经一座15m高排气筒排放。</w:t>
            </w:r>
          </w:p>
        </w:tc>
        <w:tc>
          <w:tcPr>
            <w:tcW w:w="1428" w:type="pct"/>
            <w:shd w:val="clear" w:color="auto" w:fill="auto"/>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与中频炉共用</w:t>
            </w:r>
          </w:p>
        </w:tc>
        <w:tc>
          <w:tcPr>
            <w:tcW w:w="839" w:type="pct"/>
            <w:shd w:val="clear" w:color="auto" w:fill="auto"/>
            <w:vAlign w:val="center"/>
          </w:tcPr>
          <w:p>
            <w:pPr>
              <w:adjustRightInd w:val="0"/>
              <w:snapToGrid w:val="0"/>
              <w:spacing w:line="360" w:lineRule="exact"/>
              <w:jc w:val="center"/>
              <w:rPr>
                <w:rFonts w:ascii="Times New Roman" w:hAnsi="Times New Roman"/>
                <w:bCs/>
                <w:szCs w:val="21"/>
                <w:highlight w:val="none"/>
              </w:rPr>
            </w:pPr>
            <w:r>
              <w:rPr>
                <w:rFonts w:hint="eastAsia" w:ascii="Times New Roman" w:hAnsi="Times New Roman"/>
                <w:bCs/>
                <w:szCs w:val="21"/>
                <w:highlight w:val="none"/>
              </w:rPr>
              <w:t>满足环保要求</w:t>
            </w:r>
          </w:p>
        </w:tc>
        <w:tc>
          <w:tcPr>
            <w:tcW w:w="534"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hint="eastAsia" w:ascii="Times New Roman" w:hAnsi="Times New Roman"/>
                <w:szCs w:val="21"/>
                <w:highlight w:val="none"/>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砂处理</w:t>
            </w:r>
            <w:r>
              <w:rPr>
                <w:rFonts w:hint="eastAsia" w:ascii="Times New Roman" w:hAnsi="Times New Roman"/>
                <w:szCs w:val="21"/>
                <w:highlight w:val="none"/>
              </w:rPr>
              <w:t>、</w:t>
            </w:r>
          </w:p>
          <w:p>
            <w:pPr>
              <w:spacing w:line="340" w:lineRule="exact"/>
              <w:jc w:val="center"/>
              <w:rPr>
                <w:rFonts w:ascii="Times New Roman" w:hAnsi="Times New Roman"/>
                <w:szCs w:val="21"/>
                <w:highlight w:val="none"/>
              </w:rPr>
            </w:pPr>
            <w:r>
              <w:rPr>
                <w:rFonts w:ascii="Times New Roman" w:hAnsi="Times New Roman"/>
                <w:szCs w:val="21"/>
                <w:highlight w:val="none"/>
              </w:rPr>
              <w:t>混砂</w:t>
            </w:r>
          </w:p>
        </w:tc>
        <w:tc>
          <w:tcPr>
            <w:tcW w:w="1608" w:type="pct"/>
            <w:shd w:val="clear" w:color="auto" w:fill="auto"/>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4套集气罩+布袋除尘器，经一座15m高排气筒排放。</w:t>
            </w:r>
          </w:p>
        </w:tc>
        <w:tc>
          <w:tcPr>
            <w:tcW w:w="1428" w:type="pct"/>
            <w:vMerge w:val="restart"/>
            <w:shd w:val="clear" w:color="auto" w:fill="auto"/>
            <w:vAlign w:val="center"/>
          </w:tcPr>
          <w:p>
            <w:pPr>
              <w:widowControl/>
              <w:spacing w:line="340" w:lineRule="exact"/>
              <w:jc w:val="center"/>
              <w:rPr>
                <w:rFonts w:ascii="Times New Roman" w:hAnsi="Times New Roman"/>
                <w:bCs/>
                <w:szCs w:val="21"/>
                <w:highlight w:val="none"/>
              </w:rPr>
            </w:pPr>
            <w:r>
              <w:rPr>
                <w:rFonts w:ascii="Times New Roman" w:hAnsi="Times New Roman"/>
                <w:highlight w:val="none"/>
              </w:rPr>
              <w:t>1条全制动造型线</w:t>
            </w:r>
            <w:r>
              <w:rPr>
                <w:rFonts w:hint="eastAsia" w:ascii="Times New Roman" w:hAnsi="Times New Roman"/>
                <w:highlight w:val="none"/>
              </w:rPr>
              <w:t>，</w:t>
            </w:r>
            <w:r>
              <w:rPr>
                <w:rFonts w:ascii="Times New Roman" w:hAnsi="Times New Roman"/>
                <w:szCs w:val="21"/>
                <w:highlight w:val="none"/>
              </w:rPr>
              <w:t>处理后的旧砂进入料仓供混砂回用。膨润土、煤粉、新砂及旧砂进行混合。砂处理和混砂过程</w:t>
            </w:r>
            <w:r>
              <w:rPr>
                <w:rFonts w:hint="eastAsia" w:ascii="Times New Roman" w:hAnsi="Times New Roman"/>
                <w:szCs w:val="21"/>
                <w:highlight w:val="none"/>
              </w:rPr>
              <w:t>废气</w:t>
            </w:r>
            <w:r>
              <w:rPr>
                <w:rFonts w:ascii="Times New Roman" w:hAnsi="Times New Roman"/>
                <w:szCs w:val="21"/>
                <w:highlight w:val="none"/>
              </w:rPr>
              <w:t>由集气管道收集通过一套布袋除尘器处理。</w:t>
            </w:r>
            <w:r>
              <w:rPr>
                <w:rFonts w:hint="eastAsia" w:ascii="Times New Roman" w:hAnsi="Times New Roman"/>
                <w:szCs w:val="21"/>
                <w:highlight w:val="none"/>
              </w:rPr>
              <w:t>制芯废气配备“布袋除尘+2级</w:t>
            </w:r>
            <w:r>
              <w:rPr>
                <w:rFonts w:ascii="Times New Roman" w:hAnsi="Times New Roman"/>
                <w:szCs w:val="21"/>
                <w:highlight w:val="none"/>
              </w:rPr>
              <w:t>活性炭吸附装置</w:t>
            </w:r>
            <w:r>
              <w:rPr>
                <w:rFonts w:hint="eastAsia" w:ascii="Times New Roman" w:hAnsi="Times New Roman"/>
                <w:szCs w:val="21"/>
                <w:highlight w:val="none"/>
              </w:rPr>
              <w:t>”处理，制芯废气与砂处理混砂共用排气筒。</w:t>
            </w:r>
          </w:p>
        </w:tc>
        <w:tc>
          <w:tcPr>
            <w:tcW w:w="839" w:type="pct"/>
            <w:vMerge w:val="restart"/>
            <w:shd w:val="clear" w:color="auto" w:fill="auto"/>
            <w:vAlign w:val="center"/>
          </w:tcPr>
          <w:p>
            <w:pPr>
              <w:adjustRightInd w:val="0"/>
              <w:snapToGrid w:val="0"/>
              <w:spacing w:line="360" w:lineRule="exact"/>
              <w:jc w:val="center"/>
              <w:rPr>
                <w:rFonts w:ascii="Times New Roman" w:hAnsi="Times New Roman"/>
                <w:bCs/>
                <w:szCs w:val="21"/>
                <w:highlight w:val="none"/>
              </w:rPr>
            </w:pPr>
            <w:r>
              <w:rPr>
                <w:rFonts w:hint="eastAsia" w:ascii="Times New Roman" w:hAnsi="Times New Roman"/>
                <w:bCs/>
                <w:szCs w:val="21"/>
                <w:highlight w:val="none"/>
              </w:rPr>
              <w:t>满足环保要求</w:t>
            </w:r>
          </w:p>
        </w:tc>
        <w:tc>
          <w:tcPr>
            <w:tcW w:w="534" w:type="pct"/>
            <w:vMerge w:val="restart"/>
            <w:shd w:val="clear" w:color="auto" w:fill="auto"/>
            <w:vAlign w:val="center"/>
          </w:tcPr>
          <w:p>
            <w:pPr>
              <w:adjustRightInd w:val="0"/>
              <w:snapToGrid w:val="0"/>
              <w:spacing w:line="360" w:lineRule="exact"/>
              <w:jc w:val="center"/>
              <w:rPr>
                <w:rFonts w:ascii="Times New Roman" w:hAnsi="Times New Roman"/>
                <w:szCs w:val="21"/>
                <w:highlight w:val="none"/>
              </w:rPr>
            </w:pPr>
            <w:r>
              <w:rPr>
                <w:rFonts w:hint="eastAsia" w:ascii="Times New Roman" w:hAnsi="Times New Roman"/>
                <w:szCs w:val="21"/>
                <w:highlight w:val="none"/>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3"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制芯工序</w:t>
            </w:r>
          </w:p>
        </w:tc>
        <w:tc>
          <w:tcPr>
            <w:tcW w:w="1608" w:type="pct"/>
            <w:shd w:val="clear" w:color="auto" w:fill="auto"/>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4套集气罩收集后一起进入1套布袋除尘器+2级活性炭吸附装置处理后，由15m高排气筒排放。</w:t>
            </w:r>
          </w:p>
        </w:tc>
        <w:tc>
          <w:tcPr>
            <w:tcW w:w="1428" w:type="pct"/>
            <w:vMerge w:val="continue"/>
            <w:shd w:val="clear" w:color="auto" w:fill="auto"/>
            <w:vAlign w:val="center"/>
          </w:tcPr>
          <w:p>
            <w:pPr>
              <w:widowControl/>
              <w:spacing w:line="340" w:lineRule="exact"/>
              <w:jc w:val="center"/>
              <w:rPr>
                <w:rFonts w:ascii="Times New Roman" w:hAnsi="Times New Roman"/>
                <w:bCs/>
                <w:szCs w:val="21"/>
                <w:highlight w:val="none"/>
              </w:rPr>
            </w:pPr>
          </w:p>
        </w:tc>
        <w:tc>
          <w:tcPr>
            <w:tcW w:w="839" w:type="pct"/>
            <w:vMerge w:val="continue"/>
            <w:shd w:val="clear" w:color="auto" w:fill="auto"/>
            <w:vAlign w:val="center"/>
          </w:tcPr>
          <w:p>
            <w:pPr>
              <w:adjustRightInd w:val="0"/>
              <w:snapToGrid w:val="0"/>
              <w:spacing w:line="360" w:lineRule="exact"/>
              <w:jc w:val="center"/>
              <w:rPr>
                <w:rFonts w:ascii="Times New Roman" w:hAnsi="Times New Roman"/>
                <w:bCs/>
                <w:szCs w:val="21"/>
                <w:highlight w:val="none"/>
              </w:rPr>
            </w:pPr>
          </w:p>
        </w:tc>
        <w:tc>
          <w:tcPr>
            <w:tcW w:w="534" w:type="pct"/>
            <w:vMerge w:val="continue"/>
            <w:shd w:val="clear" w:color="auto" w:fill="auto"/>
            <w:vAlign w:val="center"/>
          </w:tcPr>
          <w:p>
            <w:pPr>
              <w:adjustRightInd w:val="0"/>
              <w:snapToGrid w:val="0"/>
              <w:spacing w:line="360" w:lineRule="exac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蘸漆房</w:t>
            </w:r>
          </w:p>
        </w:tc>
        <w:tc>
          <w:tcPr>
            <w:tcW w:w="1608"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1套集气罩＋过滤棉+活性炭吸附/脱附+催化燃烧处理，经15m高排气筒排放。</w:t>
            </w:r>
          </w:p>
        </w:tc>
        <w:tc>
          <w:tcPr>
            <w:tcW w:w="1428" w:type="pct"/>
            <w:vMerge w:val="restart"/>
            <w:shd w:val="clear" w:color="auto" w:fill="auto"/>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经“UV光氧+</w:t>
            </w:r>
            <w:r>
              <w:rPr>
                <w:rFonts w:ascii="Times New Roman" w:hAnsi="Times New Roman"/>
                <w:szCs w:val="21"/>
                <w:highlight w:val="none"/>
              </w:rPr>
              <w:t>活性炭吸附</w:t>
            </w:r>
            <w:r>
              <w:rPr>
                <w:rFonts w:hint="eastAsia" w:ascii="Times New Roman" w:hAnsi="Times New Roman"/>
                <w:szCs w:val="21"/>
                <w:highlight w:val="none"/>
              </w:rPr>
              <w:t>+催化燃烧处理”</w:t>
            </w:r>
            <w:r>
              <w:rPr>
                <w:rFonts w:ascii="Times New Roman" w:hAnsi="Times New Roman"/>
                <w:szCs w:val="21"/>
                <w:highlight w:val="none"/>
              </w:rPr>
              <w:t>，</w:t>
            </w:r>
            <w:r>
              <w:rPr>
                <w:rFonts w:hint="eastAsia" w:ascii="Times New Roman" w:hAnsi="Times New Roman"/>
                <w:szCs w:val="21"/>
                <w:highlight w:val="none"/>
              </w:rPr>
              <w:t>与固化废气共用处理设施及排气筒。</w:t>
            </w:r>
          </w:p>
        </w:tc>
        <w:tc>
          <w:tcPr>
            <w:tcW w:w="839" w:type="pct"/>
            <w:vMerge w:val="restart"/>
            <w:shd w:val="clear" w:color="auto" w:fill="auto"/>
            <w:vAlign w:val="center"/>
          </w:tcPr>
          <w:p>
            <w:pPr>
              <w:adjustRightInd w:val="0"/>
              <w:snapToGrid w:val="0"/>
              <w:spacing w:line="360" w:lineRule="exact"/>
              <w:jc w:val="center"/>
              <w:rPr>
                <w:rFonts w:ascii="Times New Roman" w:hAnsi="Times New Roman"/>
                <w:bCs/>
                <w:szCs w:val="21"/>
                <w:highlight w:val="none"/>
              </w:rPr>
            </w:pPr>
            <w:r>
              <w:rPr>
                <w:rFonts w:hint="eastAsia" w:ascii="Times New Roman" w:hAnsi="Times New Roman"/>
                <w:bCs/>
                <w:szCs w:val="21"/>
                <w:highlight w:val="none"/>
              </w:rPr>
              <w:t>满足环保要求</w:t>
            </w:r>
          </w:p>
        </w:tc>
        <w:tc>
          <w:tcPr>
            <w:tcW w:w="534"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hint="eastAsia" w:ascii="Times New Roman" w:hAnsi="Times New Roman"/>
                <w:szCs w:val="21"/>
                <w:highlight w:val="none"/>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590" w:type="pct"/>
            <w:shd w:val="clear" w:color="auto" w:fill="auto"/>
            <w:vAlign w:val="center"/>
          </w:tcPr>
          <w:p>
            <w:pPr>
              <w:spacing w:line="340" w:lineRule="exact"/>
              <w:jc w:val="center"/>
              <w:rPr>
                <w:rFonts w:ascii="Times New Roman" w:hAnsi="Times New Roman"/>
                <w:szCs w:val="21"/>
                <w:highlight w:val="none"/>
              </w:rPr>
            </w:pPr>
            <w:r>
              <w:rPr>
                <w:rFonts w:ascii="Times New Roman" w:hAnsi="Times New Roman"/>
                <w:szCs w:val="21"/>
                <w:highlight w:val="none"/>
              </w:rPr>
              <w:t>固化烘干工序</w:t>
            </w:r>
          </w:p>
        </w:tc>
        <w:tc>
          <w:tcPr>
            <w:tcW w:w="1608" w:type="pct"/>
            <w:shd w:val="clear" w:color="auto" w:fill="auto"/>
            <w:vAlign w:val="center"/>
          </w:tcPr>
          <w:p>
            <w:pPr>
              <w:spacing w:line="340" w:lineRule="exact"/>
              <w:jc w:val="center"/>
              <w:rPr>
                <w:rFonts w:ascii="Times New Roman" w:hAnsi="Times New Roman"/>
                <w:bCs/>
                <w:szCs w:val="21"/>
                <w:highlight w:val="none"/>
              </w:rPr>
            </w:pPr>
            <w:r>
              <w:rPr>
                <w:rFonts w:ascii="Times New Roman" w:hAnsi="Times New Roman"/>
                <w:szCs w:val="21"/>
                <w:highlight w:val="none"/>
              </w:rPr>
              <w:t>1套过滤棉+活性炭吸附/脱附+催化燃烧处理，经15m高排气筒排放。</w:t>
            </w:r>
          </w:p>
        </w:tc>
        <w:tc>
          <w:tcPr>
            <w:tcW w:w="1428" w:type="pct"/>
            <w:vMerge w:val="continue"/>
            <w:shd w:val="clear" w:color="auto" w:fill="auto"/>
            <w:vAlign w:val="center"/>
          </w:tcPr>
          <w:p>
            <w:pPr>
              <w:widowControl/>
              <w:spacing w:line="340" w:lineRule="exact"/>
              <w:jc w:val="center"/>
              <w:rPr>
                <w:rFonts w:ascii="Times New Roman" w:hAnsi="Times New Roman"/>
                <w:szCs w:val="21"/>
                <w:highlight w:val="none"/>
              </w:rPr>
            </w:pPr>
          </w:p>
        </w:tc>
        <w:tc>
          <w:tcPr>
            <w:tcW w:w="839" w:type="pct"/>
            <w:vMerge w:val="continue"/>
            <w:shd w:val="clear" w:color="auto" w:fill="auto"/>
            <w:vAlign w:val="center"/>
          </w:tcPr>
          <w:p>
            <w:pPr>
              <w:adjustRightInd w:val="0"/>
              <w:snapToGrid w:val="0"/>
              <w:spacing w:line="360" w:lineRule="exact"/>
              <w:jc w:val="center"/>
              <w:rPr>
                <w:rFonts w:ascii="Times New Roman" w:hAnsi="Times New Roman"/>
                <w:bCs/>
                <w:szCs w:val="21"/>
                <w:highlight w:val="none"/>
              </w:rPr>
            </w:pPr>
          </w:p>
        </w:tc>
        <w:tc>
          <w:tcPr>
            <w:tcW w:w="534" w:type="pct"/>
            <w:shd w:val="clear" w:color="auto" w:fill="auto"/>
            <w:vAlign w:val="center"/>
          </w:tcPr>
          <w:p>
            <w:pPr>
              <w:adjustRightInd w:val="0"/>
              <w:snapToGrid w:val="0"/>
              <w:spacing w:line="360" w:lineRule="exact"/>
              <w:jc w:val="center"/>
              <w:rPr>
                <w:rFonts w:ascii="Times New Roman" w:hAnsi="Times New Roman"/>
                <w:szCs w:val="21"/>
                <w:highlight w:val="none"/>
              </w:rPr>
            </w:pPr>
            <w:r>
              <w:rPr>
                <w:rFonts w:hint="eastAsia" w:ascii="Times New Roman" w:hAnsi="Times New Roman"/>
                <w:szCs w:val="21"/>
                <w:highlight w:val="none"/>
              </w:rPr>
              <w:t>不属于</w:t>
            </w:r>
          </w:p>
        </w:tc>
      </w:tr>
    </w:tbl>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lang w:val="zu-ZA"/>
        </w:rPr>
        <w:t>根据中华人民共和国环境保护办公厅环办环评函[2020]688号文《污染影响类建设项目重大变动清单（试行）的通知》，</w:t>
      </w:r>
      <w:r>
        <w:rPr>
          <w:rFonts w:hint="eastAsia" w:ascii="Times New Roman" w:hAnsi="Times New Roman"/>
          <w:sz w:val="24"/>
          <w:szCs w:val="24"/>
          <w:highlight w:val="none"/>
          <w:lang w:val="zu-ZA"/>
        </w:rPr>
        <w:t>本项目</w:t>
      </w:r>
      <w:r>
        <w:rPr>
          <w:rFonts w:ascii="Times New Roman" w:hAnsi="Times New Roman"/>
          <w:sz w:val="24"/>
          <w:szCs w:val="24"/>
          <w:highlight w:val="none"/>
          <w:lang w:val="zu-ZA"/>
        </w:rPr>
        <w:t>不属于重大变更</w:t>
      </w:r>
      <w:r>
        <w:rPr>
          <w:rFonts w:ascii="Times New Roman" w:hAnsi="Times New Roman"/>
          <w:sz w:val="24"/>
          <w:szCs w:val="24"/>
          <w:highlight w:val="none"/>
        </w:rPr>
        <w:t>。</w:t>
      </w:r>
    </w:p>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三、环境保护设施建设情况</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环评要求及落实情况见表3，环评批复要求及落实情况见表4。</w:t>
      </w:r>
    </w:p>
    <w:p>
      <w:pPr>
        <w:pStyle w:val="2"/>
        <w:rPr>
          <w:highlight w:val="none"/>
        </w:rPr>
      </w:pPr>
    </w:p>
    <w:p>
      <w:pPr>
        <w:rPr>
          <w:rFonts w:hint="eastAsia"/>
          <w:highlight w:val="none"/>
        </w:rPr>
      </w:pPr>
    </w:p>
    <w:p>
      <w:pPr>
        <w:pStyle w:val="13"/>
        <w:spacing w:line="440" w:lineRule="exact"/>
        <w:jc w:val="center"/>
        <w:rPr>
          <w:rFonts w:ascii="Times New Roman" w:hAnsi="Times New Roman" w:cs="Times New Roman"/>
          <w:b/>
          <w:color w:val="auto"/>
          <w:sz w:val="21"/>
          <w:szCs w:val="21"/>
          <w:highlight w:val="none"/>
        </w:rPr>
      </w:pPr>
      <w:r>
        <w:rPr>
          <w:rFonts w:ascii="Times New Roman" w:hAnsi="Times New Roman" w:cs="Times New Roman"/>
          <w:b/>
          <w:bCs/>
          <w:color w:val="auto"/>
          <w:kern w:val="2"/>
          <w:sz w:val="21"/>
          <w:szCs w:val="21"/>
          <w:highlight w:val="none"/>
        </w:rPr>
        <w:t>表3</w:t>
      </w:r>
      <w:r>
        <w:rPr>
          <w:rFonts w:ascii="Times New Roman" w:hAnsi="Times New Roman" w:cs="Times New Roman"/>
          <w:color w:val="auto"/>
          <w:kern w:val="2"/>
          <w:sz w:val="21"/>
          <w:szCs w:val="21"/>
          <w:highlight w:val="none"/>
        </w:rPr>
        <w:t xml:space="preserve">  </w:t>
      </w:r>
      <w:r>
        <w:rPr>
          <w:rFonts w:ascii="Times New Roman" w:hAnsi="Times New Roman" w:cs="Times New Roman"/>
          <w:b/>
          <w:color w:val="auto"/>
          <w:sz w:val="21"/>
          <w:szCs w:val="21"/>
          <w:highlight w:val="none"/>
        </w:rPr>
        <w:t>环评对本工程的环保要求及完成情况</w:t>
      </w:r>
    </w:p>
    <w:tbl>
      <w:tblPr>
        <w:tblStyle w:val="10"/>
        <w:tblW w:w="4971" w:type="pct"/>
        <w:tblInd w:w="0" w:type="dxa"/>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0"/>
        <w:gridCol w:w="1238"/>
        <w:gridCol w:w="3823"/>
        <w:gridCol w:w="3496"/>
      </w:tblGrid>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9" w:hRule="atLeast"/>
        </w:trPr>
        <w:tc>
          <w:tcPr>
            <w:tcW w:w="928" w:type="pct"/>
            <w:gridSpan w:val="2"/>
            <w:tcBorders>
              <w:tl2br w:val="nil"/>
              <w:tr2bl w:val="nil"/>
            </w:tcBorders>
            <w:vAlign w:val="center"/>
          </w:tcPr>
          <w:p>
            <w:pPr>
              <w:pStyle w:val="6"/>
              <w:spacing w:line="300" w:lineRule="exact"/>
              <w:jc w:val="center"/>
              <w:rPr>
                <w:rFonts w:ascii="宋体" w:hAnsi="宋体" w:cs="宋体"/>
                <w:sz w:val="21"/>
                <w:szCs w:val="21"/>
                <w:highlight w:val="none"/>
              </w:rPr>
            </w:pPr>
            <w:r>
              <w:rPr>
                <w:rFonts w:hint="eastAsia" w:ascii="宋体" w:hAnsi="宋体" w:cs="宋体"/>
                <w:sz w:val="21"/>
                <w:szCs w:val="21"/>
                <w:highlight w:val="none"/>
              </w:rPr>
              <w:t>工程内容</w:t>
            </w:r>
          </w:p>
        </w:tc>
        <w:tc>
          <w:tcPr>
            <w:tcW w:w="2126" w:type="pct"/>
            <w:tcBorders>
              <w:tl2br w:val="nil"/>
              <w:tr2bl w:val="nil"/>
            </w:tcBorders>
            <w:vAlign w:val="center"/>
          </w:tcPr>
          <w:p>
            <w:pPr>
              <w:pStyle w:val="6"/>
              <w:spacing w:line="300" w:lineRule="exact"/>
              <w:jc w:val="center"/>
              <w:rPr>
                <w:rFonts w:ascii="宋体" w:hAnsi="宋体" w:cs="宋体"/>
                <w:sz w:val="21"/>
                <w:szCs w:val="21"/>
                <w:highlight w:val="none"/>
              </w:rPr>
            </w:pPr>
            <w:r>
              <w:rPr>
                <w:rFonts w:hint="eastAsia" w:ascii="宋体" w:hAnsi="宋体" w:cs="宋体"/>
                <w:sz w:val="21"/>
                <w:szCs w:val="21"/>
                <w:highlight w:val="none"/>
              </w:rPr>
              <w:t>环评要求内容</w:t>
            </w:r>
          </w:p>
        </w:tc>
        <w:tc>
          <w:tcPr>
            <w:tcW w:w="1945" w:type="pct"/>
            <w:tcBorders>
              <w:tl2br w:val="nil"/>
              <w:tr2bl w:val="nil"/>
            </w:tcBorders>
            <w:vAlign w:val="center"/>
          </w:tcPr>
          <w:p>
            <w:pPr>
              <w:pStyle w:val="6"/>
              <w:spacing w:line="300" w:lineRule="exact"/>
              <w:jc w:val="center"/>
              <w:rPr>
                <w:rFonts w:ascii="宋体" w:hAnsi="宋体" w:cs="宋体"/>
                <w:sz w:val="21"/>
                <w:szCs w:val="21"/>
                <w:highlight w:val="none"/>
              </w:rPr>
            </w:pPr>
            <w:r>
              <w:rPr>
                <w:rFonts w:hint="eastAsia" w:ascii="宋体" w:hAnsi="宋体" w:cs="宋体"/>
                <w:sz w:val="21"/>
                <w:szCs w:val="21"/>
                <w:highlight w:val="none"/>
              </w:rPr>
              <w:t>实际建设内容</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1" w:hRule="atLeast"/>
        </w:trPr>
        <w:tc>
          <w:tcPr>
            <w:tcW w:w="239" w:type="pct"/>
            <w:vMerge w:val="restar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废气</w:t>
            </w: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中频炉熔化工序</w:t>
            </w:r>
          </w:p>
        </w:tc>
        <w:tc>
          <w:tcPr>
            <w:tcW w:w="2126" w:type="pc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4套集气罩+布袋除尘器，经一座15m高排气筒排放。</w:t>
            </w:r>
          </w:p>
        </w:tc>
        <w:tc>
          <w:tcPr>
            <w:tcW w:w="1945" w:type="pct"/>
            <w:vMerge w:val="restart"/>
            <w:tcBorders>
              <w:tl2br w:val="nil"/>
              <w:tr2bl w:val="nil"/>
            </w:tcBorders>
            <w:vAlign w:val="center"/>
          </w:tcPr>
          <w:p>
            <w:pPr>
              <w:spacing w:line="320" w:lineRule="exact"/>
              <w:jc w:val="center"/>
              <w:rPr>
                <w:rFonts w:ascii="宋体" w:hAnsi="宋体" w:cs="宋体"/>
                <w:color w:val="FF0000"/>
                <w:szCs w:val="21"/>
                <w:highlight w:val="none"/>
              </w:rPr>
            </w:pPr>
            <w:r>
              <w:rPr>
                <w:rFonts w:hint="eastAsia" w:ascii="Times New Roman" w:hAnsi="Times New Roman"/>
                <w:szCs w:val="21"/>
                <w:highlight w:val="none"/>
              </w:rPr>
              <w:t>废气通过龙卷风集气+上方移动式集气罩收集后经</w:t>
            </w:r>
            <w:r>
              <w:rPr>
                <w:rFonts w:ascii="Times New Roman" w:hAnsi="Times New Roman"/>
                <w:szCs w:val="21"/>
                <w:highlight w:val="none"/>
              </w:rPr>
              <w:t>布袋除尘器</w:t>
            </w:r>
            <w:r>
              <w:rPr>
                <w:rFonts w:hint="eastAsia" w:ascii="Times New Roman" w:hAnsi="Times New Roman"/>
                <w:szCs w:val="21"/>
                <w:highlight w:val="none"/>
              </w:rPr>
              <w:t>处理</w:t>
            </w:r>
            <w:r>
              <w:rPr>
                <w:rFonts w:ascii="Times New Roman" w:hAnsi="Times New Roman"/>
                <w:szCs w:val="21"/>
                <w:highlight w:val="none"/>
              </w:rPr>
              <w:t>，15m高排气筒排放</w:t>
            </w:r>
            <w:r>
              <w:rPr>
                <w:rFonts w:hint="eastAsia" w:ascii="Times New Roman" w:hAnsi="Times New Roman"/>
                <w:szCs w:val="21"/>
                <w:highlight w:val="none"/>
              </w:rPr>
              <w:t>。球化</w:t>
            </w:r>
            <w:r>
              <w:rPr>
                <w:rFonts w:hint="eastAsia" w:ascii="Times New Roman" w:hAnsi="Times New Roman"/>
                <w:bCs/>
                <w:szCs w:val="21"/>
                <w:highlight w:val="none"/>
              </w:rPr>
              <w:t>与中频炉共用处理设施。</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57"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球化工序</w:t>
            </w:r>
          </w:p>
        </w:tc>
        <w:tc>
          <w:tcPr>
            <w:tcW w:w="2126" w:type="pc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1套集气罩+布袋除尘器，经一座15m高排气筒排放。</w:t>
            </w:r>
          </w:p>
        </w:tc>
        <w:tc>
          <w:tcPr>
            <w:tcW w:w="1945" w:type="pct"/>
            <w:vMerge w:val="continue"/>
            <w:tcBorders>
              <w:tl2br w:val="nil"/>
              <w:tr2bl w:val="nil"/>
            </w:tcBorders>
            <w:vAlign w:val="center"/>
          </w:tcPr>
          <w:p>
            <w:pPr>
              <w:spacing w:line="320" w:lineRule="exact"/>
              <w:jc w:val="center"/>
              <w:rPr>
                <w:rFonts w:ascii="宋体" w:hAnsi="宋体" w:cs="宋体"/>
                <w:color w:val="FF0000"/>
                <w:szCs w:val="21"/>
                <w:highlight w:val="none"/>
              </w:rPr>
            </w:pP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浇铸、冷却工序</w:t>
            </w:r>
          </w:p>
        </w:tc>
        <w:tc>
          <w:tcPr>
            <w:tcW w:w="2126" w:type="pct"/>
            <w:tcBorders>
              <w:bottom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1套集气罩+布袋除尘器，经一座15m高排气筒排放。</w:t>
            </w:r>
          </w:p>
        </w:tc>
        <w:tc>
          <w:tcPr>
            <w:tcW w:w="1945" w:type="pct"/>
            <w:tcBorders>
              <w:bottom w:val="single" w:color="auto" w:sz="4" w:space="0"/>
              <w:tl2br w:val="nil"/>
              <w:tr2bl w:val="nil"/>
            </w:tcBorders>
            <w:vAlign w:val="center"/>
          </w:tcPr>
          <w:p>
            <w:pPr>
              <w:spacing w:line="320" w:lineRule="exact"/>
              <w:jc w:val="center"/>
              <w:rPr>
                <w:rFonts w:ascii="宋体" w:hAnsi="宋体" w:cs="宋体"/>
                <w:color w:val="FF0000"/>
                <w:szCs w:val="21"/>
                <w:highlight w:val="none"/>
              </w:rPr>
            </w:pPr>
            <w:r>
              <w:rPr>
                <w:rFonts w:hint="eastAsia" w:ascii="Times New Roman" w:hAnsi="Times New Roman"/>
                <w:szCs w:val="21"/>
                <w:highlight w:val="none"/>
              </w:rPr>
              <w:t>配套</w:t>
            </w:r>
            <w:r>
              <w:rPr>
                <w:rFonts w:ascii="Times New Roman" w:hAnsi="Times New Roman"/>
                <w:szCs w:val="21"/>
                <w:highlight w:val="none"/>
              </w:rPr>
              <w:t>集气罩+布袋除尘器，经15m高排气筒排放。</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落砂</w:t>
            </w:r>
          </w:p>
        </w:tc>
        <w:tc>
          <w:tcPr>
            <w:tcW w:w="2126" w:type="pct"/>
            <w:tcBorders>
              <w:top w:val="single" w:color="auto" w:sz="4" w:space="0"/>
              <w:bottom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1套集气罩+布袋除尘器，经一座15m高排气筒排放。</w:t>
            </w:r>
          </w:p>
        </w:tc>
        <w:tc>
          <w:tcPr>
            <w:tcW w:w="1945" w:type="pct"/>
            <w:tcBorders>
              <w:top w:val="single" w:color="auto" w:sz="4" w:space="0"/>
              <w:bottom w:val="single" w:color="auto" w:sz="4" w:space="0"/>
              <w:tl2br w:val="nil"/>
              <w:tr2bl w:val="nil"/>
            </w:tcBorders>
            <w:vAlign w:val="center"/>
          </w:tcPr>
          <w:p>
            <w:pPr>
              <w:spacing w:line="320" w:lineRule="exact"/>
              <w:jc w:val="center"/>
              <w:rPr>
                <w:rFonts w:ascii="宋体" w:hAnsi="宋体" w:cs="宋体"/>
                <w:color w:val="FF0000"/>
                <w:szCs w:val="21"/>
                <w:highlight w:val="none"/>
              </w:rPr>
            </w:pPr>
            <w:r>
              <w:rPr>
                <w:rFonts w:hint="eastAsia" w:ascii="Times New Roman" w:hAnsi="Times New Roman"/>
                <w:bCs/>
                <w:szCs w:val="21"/>
                <w:highlight w:val="none"/>
              </w:rPr>
              <w:t>封闭式落砂工序，经布袋除尘器处理，通过</w:t>
            </w:r>
            <w:r>
              <w:rPr>
                <w:rFonts w:ascii="Times New Roman" w:hAnsi="Times New Roman"/>
                <w:szCs w:val="21"/>
                <w:highlight w:val="none"/>
              </w:rPr>
              <w:t>15m高排气筒排放。</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砂处理、混砂</w:t>
            </w:r>
          </w:p>
        </w:tc>
        <w:tc>
          <w:tcPr>
            <w:tcW w:w="2126" w:type="pct"/>
            <w:tcBorders>
              <w:top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4套集气罩+布袋除尘器，经一座15m高排气筒排放。</w:t>
            </w:r>
          </w:p>
        </w:tc>
        <w:tc>
          <w:tcPr>
            <w:tcW w:w="1945" w:type="pct"/>
            <w:vMerge w:val="restart"/>
            <w:tcBorders>
              <w:top w:val="single" w:color="auto" w:sz="4" w:space="0"/>
              <w:tl2br w:val="nil"/>
              <w:tr2bl w:val="nil"/>
            </w:tcBorders>
            <w:vAlign w:val="center"/>
          </w:tcPr>
          <w:p>
            <w:pPr>
              <w:spacing w:line="320" w:lineRule="exact"/>
              <w:jc w:val="center"/>
              <w:rPr>
                <w:rFonts w:ascii="宋体" w:hAnsi="宋体" w:cs="宋体"/>
                <w:color w:val="FF0000"/>
                <w:szCs w:val="21"/>
                <w:highlight w:val="none"/>
              </w:rPr>
            </w:pPr>
            <w:r>
              <w:rPr>
                <w:rFonts w:ascii="Times New Roman" w:hAnsi="Times New Roman"/>
                <w:highlight w:val="none"/>
              </w:rPr>
              <w:t>1条全制动造型线</w:t>
            </w:r>
            <w:r>
              <w:rPr>
                <w:rFonts w:hint="eastAsia" w:ascii="Times New Roman" w:hAnsi="Times New Roman"/>
                <w:highlight w:val="none"/>
              </w:rPr>
              <w:t>，</w:t>
            </w:r>
            <w:r>
              <w:rPr>
                <w:rFonts w:ascii="Times New Roman" w:hAnsi="Times New Roman"/>
                <w:szCs w:val="21"/>
                <w:highlight w:val="none"/>
              </w:rPr>
              <w:t>砂处理和混砂过程会产生粉尘，由集气管道收集通过一套布袋除尘器处理。</w:t>
            </w:r>
            <w:r>
              <w:rPr>
                <w:rFonts w:hint="eastAsia" w:ascii="Times New Roman" w:hAnsi="Times New Roman"/>
                <w:szCs w:val="21"/>
                <w:highlight w:val="none"/>
              </w:rPr>
              <w:t>制芯加热产生的废气设有“布袋除尘器+2级活性炭处理设施”处理后与砂处理混砂废气共用15m高排气筒排放。</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0"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制芯工序</w:t>
            </w:r>
          </w:p>
        </w:tc>
        <w:tc>
          <w:tcPr>
            <w:tcW w:w="2126" w:type="pct"/>
            <w:tcBorders>
              <w:bottom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4套集气罩收集后一起进入1套布袋除尘器+2级活性炭吸附装置处理后，由15m高排气筒排放。</w:t>
            </w:r>
          </w:p>
        </w:tc>
        <w:tc>
          <w:tcPr>
            <w:tcW w:w="1945" w:type="pct"/>
            <w:vMerge w:val="continue"/>
            <w:tcBorders>
              <w:bottom w:val="single" w:color="auto" w:sz="4" w:space="0"/>
              <w:tl2br w:val="nil"/>
              <w:tr2bl w:val="nil"/>
            </w:tcBorders>
            <w:vAlign w:val="center"/>
          </w:tcPr>
          <w:p>
            <w:pPr>
              <w:spacing w:line="320" w:lineRule="exact"/>
              <w:jc w:val="center"/>
              <w:rPr>
                <w:rFonts w:ascii="宋体" w:hAnsi="宋体" w:cs="宋体"/>
                <w:color w:val="FF0000"/>
                <w:szCs w:val="21"/>
                <w:highlight w:val="none"/>
              </w:rPr>
            </w:pP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6"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抛丸机</w:t>
            </w:r>
          </w:p>
        </w:tc>
        <w:tc>
          <w:tcPr>
            <w:tcW w:w="2126" w:type="pct"/>
            <w:tcBorders>
              <w:top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3套集气罩+布袋除尘器，经一座15m高排气筒排放。</w:t>
            </w:r>
          </w:p>
        </w:tc>
        <w:tc>
          <w:tcPr>
            <w:tcW w:w="1945" w:type="pct"/>
            <w:vMerge w:val="restart"/>
            <w:tcBorders>
              <w:top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设有1台抛丸机和手持打磨机，抛丸和打磨过程中会产生粉尘，共用一套“旋风+布袋除尘器”处理，通过一根高15m排气筒排放。</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打磨</w:t>
            </w:r>
          </w:p>
        </w:tc>
        <w:tc>
          <w:tcPr>
            <w:tcW w:w="2126" w:type="pct"/>
            <w:tcBorders>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10套集气罩+布袋除尘器，经一座15m高排气筒排放。</w:t>
            </w:r>
          </w:p>
        </w:tc>
        <w:tc>
          <w:tcPr>
            <w:tcW w:w="1945" w:type="pct"/>
            <w:vMerge w:val="continue"/>
            <w:tcBorders>
              <w:bottom w:val="single" w:color="auto" w:sz="4" w:space="0"/>
              <w:tl2br w:val="nil"/>
              <w:tr2bl w:val="nil"/>
            </w:tcBorders>
            <w:vAlign w:val="center"/>
          </w:tcPr>
          <w:p>
            <w:pPr>
              <w:spacing w:line="320" w:lineRule="exact"/>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蘸漆</w:t>
            </w:r>
          </w:p>
        </w:tc>
        <w:tc>
          <w:tcPr>
            <w:tcW w:w="2126" w:type="pct"/>
            <w:tcBorders>
              <w:top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1套集气罩+过滤棉+活性炭吸附/脱附+催化燃烧处理，经15m高排气筒排放。</w:t>
            </w:r>
          </w:p>
        </w:tc>
        <w:tc>
          <w:tcPr>
            <w:tcW w:w="1945" w:type="pct"/>
            <w:tcBorders>
              <w:top w:val="single" w:color="auto" w:sz="4" w:space="0"/>
              <w:bottom w:val="single" w:color="auto" w:sz="4" w:space="0"/>
              <w:tl2br w:val="nil"/>
              <w:tr2bl w:val="nil"/>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szCs w:val="21"/>
                <w:highlight w:val="none"/>
              </w:rPr>
              <w:t>与固化废气共用处理设施及排气筒。</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4"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晾干</w:t>
            </w:r>
          </w:p>
        </w:tc>
        <w:tc>
          <w:tcPr>
            <w:tcW w:w="2126"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1套集气罩+过滤棉+活性炭吸附/脱附+催化燃烧处理，经15m高排气筒排放。</w:t>
            </w:r>
          </w:p>
        </w:tc>
        <w:tc>
          <w:tcPr>
            <w:tcW w:w="1945" w:type="pct"/>
            <w:tcBorders>
              <w:top w:val="single" w:color="auto" w:sz="4" w:space="0"/>
              <w:bottom w:val="single" w:color="auto" w:sz="4" w:space="0"/>
              <w:tl2br w:val="nil"/>
              <w:tr2bl w:val="nil"/>
            </w:tcBorders>
            <w:vAlign w:val="center"/>
          </w:tcPr>
          <w:p>
            <w:pPr>
              <w:widowControl/>
              <w:spacing w:line="340" w:lineRule="exact"/>
              <w:jc w:val="center"/>
              <w:rPr>
                <w:rFonts w:ascii="Times New Roman" w:hAnsi="Times New Roman"/>
                <w:bCs/>
                <w:szCs w:val="21"/>
                <w:highlight w:val="none"/>
              </w:rPr>
            </w:pPr>
            <w:r>
              <w:rPr>
                <w:rFonts w:hint="eastAsia" w:ascii="Times New Roman" w:hAnsi="Times New Roman"/>
                <w:bCs/>
                <w:szCs w:val="21"/>
                <w:highlight w:val="none"/>
              </w:rPr>
              <w:t>未建晾干车间</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6"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喷塑</w:t>
            </w:r>
          </w:p>
        </w:tc>
        <w:tc>
          <w:tcPr>
            <w:tcW w:w="2126"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1套旋风+滤芯二级粉末回收系统处理后经15m的排气筒排放。</w:t>
            </w:r>
          </w:p>
        </w:tc>
        <w:tc>
          <w:tcPr>
            <w:tcW w:w="1945" w:type="pct"/>
            <w:tcBorders>
              <w:top w:val="single" w:color="auto" w:sz="4" w:space="0"/>
              <w:bottom w:val="single" w:color="auto" w:sz="4" w:space="0"/>
              <w:tl2br w:val="nil"/>
              <w:tr2bl w:val="nil"/>
            </w:tcBorders>
            <w:vAlign w:val="center"/>
          </w:tcPr>
          <w:p>
            <w:pPr>
              <w:spacing w:line="320" w:lineRule="exact"/>
              <w:jc w:val="center"/>
              <w:rPr>
                <w:rFonts w:ascii="宋体" w:hAnsi="宋体" w:cs="宋体"/>
                <w:szCs w:val="21"/>
                <w:highlight w:val="none"/>
              </w:rPr>
            </w:pPr>
            <w:r>
              <w:rPr>
                <w:rFonts w:ascii="Times New Roman" w:hAnsi="Times New Roman"/>
                <w:szCs w:val="21"/>
                <w:highlight w:val="none"/>
              </w:rPr>
              <w:t>1套旋风+</w:t>
            </w:r>
            <w:r>
              <w:rPr>
                <w:rFonts w:hint="eastAsia" w:ascii="Times New Roman" w:hAnsi="Times New Roman"/>
                <w:szCs w:val="21"/>
                <w:highlight w:val="none"/>
              </w:rPr>
              <w:t>布袋除尘器+</w:t>
            </w:r>
            <w:r>
              <w:rPr>
                <w:rFonts w:ascii="Times New Roman" w:hAnsi="Times New Roman"/>
                <w:szCs w:val="21"/>
                <w:highlight w:val="none"/>
              </w:rPr>
              <w:t>滤芯二级粉末回收系统处理</w:t>
            </w:r>
            <w:r>
              <w:rPr>
                <w:rFonts w:hint="eastAsia" w:ascii="Times New Roman" w:hAnsi="Times New Roman"/>
                <w:szCs w:val="21"/>
                <w:highlight w:val="none"/>
              </w:rPr>
              <w:t>，</w:t>
            </w:r>
            <w:r>
              <w:rPr>
                <w:rFonts w:ascii="Times New Roman" w:hAnsi="Times New Roman"/>
                <w:szCs w:val="21"/>
                <w:highlight w:val="none"/>
              </w:rPr>
              <w:t>后经15m的排气筒排放。</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6" w:hRule="atLeast"/>
        </w:trPr>
        <w:tc>
          <w:tcPr>
            <w:tcW w:w="239" w:type="pct"/>
            <w:vMerge w:val="continue"/>
            <w:tcBorders>
              <w:tl2br w:val="nil"/>
              <w:tr2bl w:val="nil"/>
            </w:tcBorders>
            <w:vAlign w:val="center"/>
          </w:tcPr>
          <w:p>
            <w:pPr>
              <w:spacing w:line="240" w:lineRule="exact"/>
              <w:jc w:val="center"/>
              <w:rPr>
                <w:rFonts w:ascii="宋体" w:hAnsi="宋体" w:cs="宋体"/>
                <w:szCs w:val="21"/>
                <w:highlight w:val="none"/>
              </w:rPr>
            </w:pP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固化烘干</w:t>
            </w:r>
          </w:p>
        </w:tc>
        <w:tc>
          <w:tcPr>
            <w:tcW w:w="2126"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1套过滤棉+活性炭吸附/脱附+催化燃烧处理，经15m高排气筒排放。</w:t>
            </w:r>
          </w:p>
        </w:tc>
        <w:tc>
          <w:tcPr>
            <w:tcW w:w="1945" w:type="pct"/>
            <w:tcBorders>
              <w:top w:val="single" w:color="auto" w:sz="4" w:space="0"/>
              <w:bottom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Times New Roman" w:hAnsi="Times New Roman"/>
                <w:szCs w:val="21"/>
                <w:highlight w:val="none"/>
              </w:rPr>
              <w:t>经“UV光氧+</w:t>
            </w:r>
            <w:r>
              <w:rPr>
                <w:rFonts w:ascii="Times New Roman" w:hAnsi="Times New Roman"/>
                <w:szCs w:val="21"/>
                <w:highlight w:val="none"/>
              </w:rPr>
              <w:t>活性炭吸附</w:t>
            </w:r>
            <w:r>
              <w:rPr>
                <w:rFonts w:hint="eastAsia" w:ascii="Times New Roman" w:hAnsi="Times New Roman"/>
                <w:szCs w:val="21"/>
                <w:highlight w:val="none"/>
              </w:rPr>
              <w:t>+催化燃烧” 处理</w:t>
            </w:r>
            <w:r>
              <w:rPr>
                <w:rFonts w:ascii="Times New Roman" w:hAnsi="Times New Roman"/>
                <w:szCs w:val="21"/>
                <w:highlight w:val="none"/>
              </w:rPr>
              <w:t>，</w:t>
            </w:r>
            <w:r>
              <w:rPr>
                <w:rFonts w:hint="eastAsia" w:ascii="Times New Roman" w:hAnsi="Times New Roman"/>
                <w:szCs w:val="21"/>
                <w:highlight w:val="none"/>
              </w:rPr>
              <w:t>固化与蘸漆废气共用处理设施及15m高排气筒。</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6" w:hRule="atLeast"/>
        </w:trPr>
        <w:tc>
          <w:tcPr>
            <w:tcW w:w="239" w:type="pct"/>
            <w:vMerge w:val="restar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废水</w:t>
            </w:r>
          </w:p>
        </w:tc>
        <w:tc>
          <w:tcPr>
            <w:tcW w:w="688" w:type="pct"/>
            <w:tcBorders>
              <w:tl2br w:val="nil"/>
              <w:tr2bl w:val="nil"/>
            </w:tcBorders>
            <w:vAlign w:val="center"/>
          </w:tcPr>
          <w:p>
            <w:pPr>
              <w:spacing w:line="240" w:lineRule="exact"/>
              <w:jc w:val="center"/>
              <w:rPr>
                <w:rFonts w:ascii="宋体" w:hAnsi="宋体" w:cs="宋体"/>
                <w:szCs w:val="21"/>
                <w:highlight w:val="none"/>
              </w:rPr>
            </w:pPr>
            <w:r>
              <w:rPr>
                <w:rFonts w:hint="eastAsia" w:ascii="宋体" w:hAnsi="宋体" w:cs="宋体"/>
                <w:szCs w:val="21"/>
                <w:highlight w:val="none"/>
              </w:rPr>
              <w:t>生活废水</w:t>
            </w:r>
          </w:p>
        </w:tc>
        <w:tc>
          <w:tcPr>
            <w:tcW w:w="2126"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生活污水进入沉淀池处理后用于厂区洒水抑尘。</w:t>
            </w:r>
          </w:p>
        </w:tc>
        <w:tc>
          <w:tcPr>
            <w:tcW w:w="1945" w:type="pct"/>
            <w:tcBorders>
              <w:top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厂区原有旱厕，定期由当地农户清掏，用于施肥，洗漱水用于厂区洒水抑尘</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1"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冷却</w:t>
            </w:r>
          </w:p>
          <w:p>
            <w:pPr>
              <w:spacing w:line="320" w:lineRule="exact"/>
              <w:jc w:val="center"/>
              <w:rPr>
                <w:rFonts w:ascii="宋体" w:hAnsi="宋体" w:cs="宋体"/>
                <w:szCs w:val="21"/>
                <w:highlight w:val="none"/>
              </w:rPr>
            </w:pPr>
            <w:r>
              <w:rPr>
                <w:rFonts w:hint="eastAsia" w:ascii="宋体" w:hAnsi="宋体" w:cs="宋体"/>
                <w:szCs w:val="21"/>
                <w:highlight w:val="none"/>
              </w:rPr>
              <w:t>循环水</w:t>
            </w:r>
          </w:p>
        </w:tc>
        <w:tc>
          <w:tcPr>
            <w:tcW w:w="2126"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厂区洒水抑尘。</w:t>
            </w:r>
          </w:p>
        </w:tc>
        <w:tc>
          <w:tcPr>
            <w:tcW w:w="1945" w:type="pc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冷却水工艺生产过程中水质没有发生大变化，回用于混砂用水或厂区泼洒抑尘，不外排。</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3" w:hRule="atLeast"/>
        </w:trPr>
        <w:tc>
          <w:tcPr>
            <w:tcW w:w="239" w:type="pct"/>
            <w:vMerge w:val="restar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固废</w:t>
            </w:r>
          </w:p>
        </w:tc>
        <w:tc>
          <w:tcPr>
            <w:tcW w:w="688"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熔炼废渣</w:t>
            </w:r>
          </w:p>
        </w:tc>
        <w:tc>
          <w:tcPr>
            <w:tcW w:w="2126" w:type="pct"/>
            <w:tcBorders>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集中收集后可作为建筑材料出售。</w:t>
            </w:r>
          </w:p>
        </w:tc>
        <w:tc>
          <w:tcPr>
            <w:tcW w:w="1945" w:type="pct"/>
            <w:tcBorders>
              <w:bottom w:val="single" w:color="auto" w:sz="4" w:space="0"/>
              <w:tl2br w:val="nil"/>
              <w:tr2bl w:val="nil"/>
            </w:tcBorders>
            <w:vAlign w:val="center"/>
          </w:tcPr>
          <w:p>
            <w:pPr>
              <w:spacing w:line="320" w:lineRule="exact"/>
              <w:jc w:val="center"/>
              <w:rPr>
                <w:rFonts w:ascii="宋体" w:hAnsi="宋体" w:cs="宋体"/>
                <w:color w:val="FF0000"/>
                <w:szCs w:val="21"/>
                <w:highlight w:val="none"/>
              </w:rPr>
            </w:pPr>
            <w:r>
              <w:rPr>
                <w:rFonts w:ascii="Times New Roman" w:hAnsi="Times New Roman"/>
                <w:szCs w:val="21"/>
                <w:highlight w:val="none"/>
              </w:rPr>
              <w:t>收集后作为建筑材料</w:t>
            </w:r>
            <w:r>
              <w:rPr>
                <w:rFonts w:hint="eastAsia" w:ascii="Times New Roman" w:hAnsi="Times New Roman"/>
                <w:szCs w:val="21"/>
                <w:highlight w:val="none"/>
              </w:rPr>
              <w:t>外</w:t>
            </w:r>
            <w:r>
              <w:rPr>
                <w:rFonts w:ascii="Times New Roman" w:hAnsi="Times New Roman"/>
                <w:szCs w:val="21"/>
                <w:highlight w:val="none"/>
              </w:rPr>
              <w:t>售</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2"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废粘土砂</w:t>
            </w:r>
          </w:p>
        </w:tc>
        <w:tc>
          <w:tcPr>
            <w:tcW w:w="2126" w:type="pct"/>
            <w:tcBorders>
              <w:top w:val="single" w:color="auto" w:sz="4" w:space="0"/>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运往建筑垃圾填埋场。</w:t>
            </w:r>
          </w:p>
        </w:tc>
        <w:tc>
          <w:tcPr>
            <w:tcW w:w="1945" w:type="pct"/>
            <w:tcBorders>
              <w:top w:val="single" w:color="auto" w:sz="4" w:space="0"/>
              <w:bottom w:val="single" w:color="auto" w:sz="4" w:space="0"/>
              <w:tl2br w:val="nil"/>
              <w:tr2bl w:val="nil"/>
            </w:tcBorders>
            <w:vAlign w:val="center"/>
          </w:tcPr>
          <w:p>
            <w:pPr>
              <w:spacing w:line="340" w:lineRule="exact"/>
              <w:jc w:val="center"/>
              <w:rPr>
                <w:rFonts w:ascii="宋体" w:hAnsi="宋体" w:cs="宋体"/>
                <w:color w:val="FF0000"/>
                <w:szCs w:val="21"/>
                <w:highlight w:val="none"/>
              </w:rPr>
            </w:pPr>
            <w:r>
              <w:rPr>
                <w:rFonts w:ascii="Times New Roman" w:hAnsi="Times New Roman"/>
                <w:szCs w:val="21"/>
                <w:highlight w:val="none"/>
              </w:rPr>
              <w:t>运往建筑垃圾填埋场。</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8"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废覆膜砂</w:t>
            </w:r>
          </w:p>
        </w:tc>
        <w:tc>
          <w:tcPr>
            <w:tcW w:w="2126" w:type="pct"/>
            <w:tcBorders>
              <w:top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全部由厂家回收。</w:t>
            </w:r>
          </w:p>
        </w:tc>
        <w:tc>
          <w:tcPr>
            <w:tcW w:w="1945" w:type="pct"/>
            <w:tcBorders>
              <w:top w:val="single" w:color="auto" w:sz="4" w:space="0"/>
              <w:tl2br w:val="nil"/>
              <w:tr2bl w:val="nil"/>
            </w:tcBorders>
            <w:vAlign w:val="center"/>
          </w:tcPr>
          <w:p>
            <w:pPr>
              <w:spacing w:line="340" w:lineRule="exact"/>
              <w:jc w:val="center"/>
              <w:rPr>
                <w:rFonts w:ascii="宋体" w:hAnsi="宋体" w:cs="宋体"/>
                <w:color w:val="FF0000"/>
                <w:szCs w:val="21"/>
                <w:highlight w:val="none"/>
              </w:rPr>
            </w:pPr>
            <w:r>
              <w:rPr>
                <w:rFonts w:ascii="Times New Roman" w:hAnsi="Times New Roman"/>
                <w:szCs w:val="21"/>
                <w:highlight w:val="none"/>
              </w:rPr>
              <w:t>全部由厂家回收。</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8"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除尘灰</w:t>
            </w:r>
          </w:p>
        </w:tc>
        <w:tc>
          <w:tcPr>
            <w:tcW w:w="2126" w:type="pct"/>
            <w:tcBorders>
              <w:tl2br w:val="nil"/>
              <w:tr2bl w:val="nil"/>
            </w:tcBorders>
            <w:vAlign w:val="center"/>
          </w:tcPr>
          <w:p>
            <w:pPr>
              <w:tabs>
                <w:tab w:val="center" w:pos="1605"/>
                <w:tab w:val="right" w:pos="3084"/>
              </w:tabs>
              <w:jc w:val="center"/>
              <w:rPr>
                <w:rFonts w:ascii="宋体" w:hAnsi="宋体" w:cs="宋体"/>
                <w:szCs w:val="21"/>
                <w:highlight w:val="none"/>
              </w:rPr>
            </w:pPr>
            <w:r>
              <w:rPr>
                <w:rFonts w:hint="eastAsia" w:ascii="宋体" w:hAnsi="宋体" w:cs="宋体"/>
                <w:szCs w:val="21"/>
                <w:highlight w:val="none"/>
              </w:rPr>
              <w:t>集中收集后可作为建筑材料出售。</w:t>
            </w:r>
          </w:p>
        </w:tc>
        <w:tc>
          <w:tcPr>
            <w:tcW w:w="1945" w:type="pct"/>
            <w:tcBorders>
              <w:tl2br w:val="nil"/>
              <w:tr2bl w:val="nil"/>
            </w:tcBorders>
            <w:vAlign w:val="center"/>
          </w:tcPr>
          <w:p>
            <w:pPr>
              <w:widowControl/>
              <w:spacing w:line="340" w:lineRule="exact"/>
              <w:jc w:val="center"/>
              <w:rPr>
                <w:rFonts w:ascii="宋体" w:hAnsi="宋体" w:cs="宋体"/>
                <w:color w:val="FF0000"/>
                <w:szCs w:val="21"/>
                <w:highlight w:val="none"/>
              </w:rPr>
            </w:pPr>
            <w:r>
              <w:rPr>
                <w:rFonts w:hint="eastAsia"/>
                <w:highlight w:val="none"/>
              </w:rPr>
              <w:t>厂区统一堆放，外运用做建筑材料</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op w:val="single" w:color="auto" w:sz="4" w:space="0"/>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pacing w:val="-10"/>
                <w:szCs w:val="21"/>
                <w:highlight w:val="none"/>
              </w:rPr>
              <w:t>残次品与</w:t>
            </w:r>
            <w:r>
              <w:rPr>
                <w:rFonts w:hint="eastAsia" w:ascii="宋体" w:hAnsi="宋体" w:cs="宋体"/>
                <w:szCs w:val="21"/>
                <w:highlight w:val="none"/>
              </w:rPr>
              <w:t>浇冒口</w:t>
            </w:r>
          </w:p>
        </w:tc>
        <w:tc>
          <w:tcPr>
            <w:tcW w:w="2126" w:type="pct"/>
            <w:tcBorders>
              <w:top w:val="single" w:color="auto" w:sz="4" w:space="0"/>
              <w:bottom w:val="single" w:color="auto" w:sz="4" w:space="0"/>
              <w:tl2br w:val="nil"/>
              <w:tr2bl w:val="nil"/>
            </w:tcBorders>
            <w:vAlign w:val="center"/>
          </w:tcPr>
          <w:p>
            <w:pPr>
              <w:tabs>
                <w:tab w:val="center" w:pos="1605"/>
                <w:tab w:val="right" w:pos="3084"/>
              </w:tabs>
              <w:jc w:val="center"/>
              <w:rPr>
                <w:rFonts w:ascii="宋体" w:hAnsi="宋体" w:cs="宋体"/>
                <w:szCs w:val="21"/>
                <w:highlight w:val="none"/>
              </w:rPr>
            </w:pPr>
            <w:r>
              <w:rPr>
                <w:rFonts w:hint="eastAsia" w:ascii="宋体" w:hAnsi="宋体" w:cs="宋体"/>
                <w:szCs w:val="21"/>
                <w:highlight w:val="none"/>
              </w:rPr>
              <w:t>可回收后作为原料利用。</w:t>
            </w:r>
          </w:p>
        </w:tc>
        <w:tc>
          <w:tcPr>
            <w:tcW w:w="1945" w:type="pct"/>
            <w:tcBorders>
              <w:bottom w:val="single" w:color="auto" w:sz="4" w:space="0"/>
              <w:tl2br w:val="nil"/>
              <w:tr2bl w:val="nil"/>
            </w:tcBorders>
            <w:vAlign w:val="center"/>
          </w:tcPr>
          <w:p>
            <w:pPr>
              <w:widowControl/>
              <w:spacing w:line="340" w:lineRule="exact"/>
              <w:jc w:val="center"/>
              <w:rPr>
                <w:rFonts w:ascii="宋体" w:hAnsi="宋体" w:cs="宋体"/>
                <w:color w:val="FF0000"/>
                <w:szCs w:val="21"/>
                <w:highlight w:val="none"/>
              </w:rPr>
            </w:pPr>
            <w:r>
              <w:rPr>
                <w:rFonts w:ascii="Times New Roman" w:hAnsi="Times New Roman"/>
                <w:szCs w:val="21"/>
                <w:highlight w:val="none"/>
              </w:rPr>
              <w:t>回收后作为原料利用</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op w:val="single" w:color="auto" w:sz="4" w:space="0"/>
              <w:bottom w:val="single" w:color="auto" w:sz="4" w:space="0"/>
              <w:tl2br w:val="nil"/>
              <w:tr2bl w:val="nil"/>
            </w:tcBorders>
            <w:vAlign w:val="center"/>
          </w:tcPr>
          <w:p>
            <w:pPr>
              <w:jc w:val="center"/>
              <w:rPr>
                <w:rFonts w:ascii="宋体" w:hAnsi="宋体" w:cs="宋体"/>
                <w:spacing w:val="-10"/>
                <w:szCs w:val="21"/>
                <w:highlight w:val="none"/>
              </w:rPr>
            </w:pPr>
            <w:r>
              <w:rPr>
                <w:rFonts w:hint="eastAsia" w:ascii="宋体" w:hAnsi="宋体" w:cs="宋体"/>
                <w:szCs w:val="21"/>
                <w:highlight w:val="none"/>
              </w:rPr>
              <w:t>废油漆桶与漆渣</w:t>
            </w:r>
          </w:p>
        </w:tc>
        <w:tc>
          <w:tcPr>
            <w:tcW w:w="2126" w:type="pct"/>
            <w:tcBorders>
              <w:top w:val="single" w:color="auto" w:sz="4" w:space="0"/>
              <w:bottom w:val="single" w:color="auto" w:sz="4" w:space="0"/>
              <w:tl2br w:val="nil"/>
              <w:tr2bl w:val="nil"/>
            </w:tcBorders>
            <w:vAlign w:val="center"/>
          </w:tcPr>
          <w:p>
            <w:pPr>
              <w:tabs>
                <w:tab w:val="center" w:pos="1605"/>
                <w:tab w:val="right" w:pos="3084"/>
              </w:tabs>
              <w:jc w:val="center"/>
              <w:rPr>
                <w:rFonts w:ascii="宋体" w:hAnsi="宋体" w:cs="宋体"/>
                <w:szCs w:val="21"/>
                <w:highlight w:val="none"/>
              </w:rPr>
            </w:pPr>
            <w:r>
              <w:rPr>
                <w:rFonts w:hint="eastAsia" w:ascii="宋体" w:hAnsi="宋体" w:cs="宋体"/>
                <w:snapToGrid w:val="0"/>
                <w:spacing w:val="4"/>
                <w:kern w:val="0"/>
                <w:szCs w:val="21"/>
                <w:highlight w:val="none"/>
              </w:rPr>
              <w:t>建设危废暂存间，分别储存于密闭容器中，室内设围堰并进行防渗处理，定期送往有资质单位处置。</w:t>
            </w:r>
          </w:p>
        </w:tc>
        <w:tc>
          <w:tcPr>
            <w:tcW w:w="1945" w:type="pct"/>
            <w:vMerge w:val="restart"/>
            <w:tcBorders>
              <w:tl2br w:val="nil"/>
              <w:tr2bl w:val="nil"/>
            </w:tcBorders>
            <w:vAlign w:val="center"/>
          </w:tcPr>
          <w:p>
            <w:pPr>
              <w:spacing w:line="320" w:lineRule="exact"/>
              <w:jc w:val="center"/>
              <w:rPr>
                <w:rFonts w:ascii="宋体" w:hAnsi="宋体" w:cs="宋体"/>
                <w:szCs w:val="21"/>
                <w:highlight w:val="none"/>
              </w:rPr>
            </w:pPr>
            <w:r>
              <w:rPr>
                <w:rFonts w:ascii="Times New Roman" w:hAnsi="Times New Roman"/>
                <w:szCs w:val="21"/>
                <w:highlight w:val="none"/>
              </w:rPr>
              <w:t>建一座危废暂存间，废油漆桶</w:t>
            </w:r>
            <w:r>
              <w:rPr>
                <w:rFonts w:hint="eastAsia"/>
                <w:highlight w:val="none"/>
              </w:rPr>
              <w:t>由厂家定期回收处置，</w:t>
            </w:r>
            <w:r>
              <w:rPr>
                <w:rFonts w:ascii="Times New Roman" w:hAnsi="Times New Roman"/>
                <w:szCs w:val="21"/>
                <w:highlight w:val="none"/>
              </w:rPr>
              <w:t>漆渣</w:t>
            </w:r>
            <w:r>
              <w:rPr>
                <w:rFonts w:hint="eastAsia" w:ascii="Times New Roman" w:hAnsi="Times New Roman"/>
                <w:szCs w:val="21"/>
                <w:highlight w:val="none"/>
              </w:rPr>
              <w:t>、</w:t>
            </w:r>
            <w:r>
              <w:rPr>
                <w:rFonts w:ascii="Times New Roman" w:hAnsi="Times New Roman"/>
                <w:szCs w:val="21"/>
                <w:highlight w:val="none"/>
              </w:rPr>
              <w:t>废活性炭</w:t>
            </w:r>
            <w:r>
              <w:rPr>
                <w:rFonts w:hint="eastAsia" w:ascii="Times New Roman" w:hAnsi="Times New Roman"/>
                <w:szCs w:val="21"/>
                <w:highlight w:val="none"/>
              </w:rPr>
              <w:t>、</w:t>
            </w:r>
            <w:r>
              <w:rPr>
                <w:rFonts w:ascii="Times New Roman" w:hAnsi="Times New Roman"/>
                <w:szCs w:val="21"/>
                <w:highlight w:val="none"/>
              </w:rPr>
              <w:t>废矿物油、废棉纱</w:t>
            </w:r>
            <w:r>
              <w:rPr>
                <w:rFonts w:hint="eastAsia"/>
                <w:highlight w:val="none"/>
              </w:rPr>
              <w:t>定期送往有资质单位处置；</w:t>
            </w:r>
            <w:r>
              <w:rPr>
                <w:rFonts w:ascii="Times New Roman" w:hAnsi="Times New Roman"/>
                <w:szCs w:val="21"/>
                <w:highlight w:val="none"/>
              </w:rPr>
              <w:t>危废暂存间地面做防渗处理</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22"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op w:val="single" w:color="auto" w:sz="4" w:space="0"/>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废活性炭</w:t>
            </w:r>
          </w:p>
        </w:tc>
        <w:tc>
          <w:tcPr>
            <w:tcW w:w="2126" w:type="pct"/>
            <w:tcBorders>
              <w:top w:val="single" w:color="auto" w:sz="4" w:space="0"/>
              <w:bottom w:val="single" w:color="auto" w:sz="4" w:space="0"/>
              <w:tl2br w:val="nil"/>
              <w:tr2bl w:val="nil"/>
            </w:tcBorders>
            <w:vAlign w:val="center"/>
          </w:tcPr>
          <w:p>
            <w:pPr>
              <w:tabs>
                <w:tab w:val="center" w:pos="1605"/>
                <w:tab w:val="right" w:pos="3084"/>
              </w:tabs>
              <w:jc w:val="center"/>
              <w:rPr>
                <w:rFonts w:ascii="宋体" w:hAnsi="宋体" w:cs="宋体"/>
                <w:szCs w:val="21"/>
                <w:highlight w:val="none"/>
              </w:rPr>
            </w:pPr>
            <w:r>
              <w:rPr>
                <w:rFonts w:hint="eastAsia" w:ascii="宋体" w:hAnsi="宋体" w:cs="宋体"/>
                <w:snapToGrid w:val="0"/>
                <w:spacing w:val="4"/>
                <w:kern w:val="0"/>
                <w:szCs w:val="21"/>
                <w:highlight w:val="none"/>
              </w:rPr>
              <w:t>建设危废暂存间，分别储存于密闭容器中，室内设围堰并进行防渗处理，定期送往有资质单位处置。</w:t>
            </w:r>
          </w:p>
        </w:tc>
        <w:tc>
          <w:tcPr>
            <w:tcW w:w="1945" w:type="pct"/>
            <w:vMerge w:val="continue"/>
            <w:tcBorders>
              <w:tl2br w:val="nil"/>
              <w:tr2bl w:val="nil"/>
            </w:tcBorders>
            <w:vAlign w:val="center"/>
          </w:tcPr>
          <w:p>
            <w:pPr>
              <w:spacing w:line="320" w:lineRule="exact"/>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op w:val="single" w:color="auto" w:sz="4" w:space="0"/>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废矿物油、废棉纱</w:t>
            </w:r>
          </w:p>
        </w:tc>
        <w:tc>
          <w:tcPr>
            <w:tcW w:w="2126" w:type="pct"/>
            <w:tcBorders>
              <w:top w:val="single" w:color="auto" w:sz="4" w:space="0"/>
              <w:bottom w:val="single" w:color="auto" w:sz="4" w:space="0"/>
              <w:tl2br w:val="nil"/>
              <w:tr2bl w:val="nil"/>
            </w:tcBorders>
            <w:vAlign w:val="center"/>
          </w:tcPr>
          <w:p>
            <w:pPr>
              <w:tabs>
                <w:tab w:val="center" w:pos="1605"/>
                <w:tab w:val="right" w:pos="3084"/>
              </w:tabs>
              <w:jc w:val="center"/>
              <w:rPr>
                <w:rFonts w:ascii="宋体" w:hAnsi="宋体" w:cs="宋体"/>
                <w:szCs w:val="21"/>
                <w:highlight w:val="none"/>
              </w:rPr>
            </w:pPr>
            <w:r>
              <w:rPr>
                <w:rFonts w:hint="eastAsia" w:ascii="宋体" w:hAnsi="宋体" w:cs="宋体"/>
                <w:snapToGrid w:val="0"/>
                <w:spacing w:val="4"/>
                <w:kern w:val="0"/>
                <w:szCs w:val="21"/>
                <w:highlight w:val="none"/>
              </w:rPr>
              <w:t>建设危废暂存间，分别储存于密闭容器中，室内设围堰并进行防渗处理，定期送往有资质单位处置。</w:t>
            </w:r>
          </w:p>
        </w:tc>
        <w:tc>
          <w:tcPr>
            <w:tcW w:w="1945" w:type="pct"/>
            <w:vMerge w:val="continue"/>
            <w:tcBorders>
              <w:bottom w:val="single" w:color="auto" w:sz="4" w:space="0"/>
              <w:tl2br w:val="nil"/>
              <w:tr2bl w:val="nil"/>
            </w:tcBorders>
            <w:vAlign w:val="center"/>
          </w:tcPr>
          <w:p>
            <w:pPr>
              <w:spacing w:line="320" w:lineRule="exact"/>
              <w:jc w:val="center"/>
              <w:rPr>
                <w:rFonts w:ascii="宋体" w:hAnsi="宋体" w:cs="宋体"/>
                <w:color w:val="FF0000"/>
                <w:szCs w:val="21"/>
                <w:highlight w:val="none"/>
              </w:rPr>
            </w:pP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239" w:type="pct"/>
            <w:vMerge w:val="continue"/>
            <w:tcBorders>
              <w:tl2br w:val="nil"/>
              <w:tr2bl w:val="nil"/>
            </w:tcBorders>
            <w:vAlign w:val="center"/>
          </w:tcPr>
          <w:p>
            <w:pPr>
              <w:spacing w:line="320" w:lineRule="exact"/>
              <w:jc w:val="center"/>
              <w:rPr>
                <w:rFonts w:ascii="宋体" w:hAnsi="宋体" w:cs="宋体"/>
                <w:szCs w:val="21"/>
                <w:highlight w:val="none"/>
              </w:rPr>
            </w:pPr>
          </w:p>
        </w:tc>
        <w:tc>
          <w:tcPr>
            <w:tcW w:w="688" w:type="pct"/>
            <w:tcBorders>
              <w:top w:val="single" w:color="auto" w:sz="4" w:space="0"/>
              <w:bottom w:val="single" w:color="auto" w:sz="4" w:space="0"/>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生活垃圾</w:t>
            </w:r>
          </w:p>
        </w:tc>
        <w:tc>
          <w:tcPr>
            <w:tcW w:w="2126" w:type="pct"/>
            <w:tcBorders>
              <w:top w:val="single" w:color="auto" w:sz="4" w:space="0"/>
              <w:bottom w:val="single" w:color="auto" w:sz="4" w:space="0"/>
              <w:tl2br w:val="nil"/>
              <w:tr2bl w:val="nil"/>
            </w:tcBorders>
            <w:vAlign w:val="center"/>
          </w:tcPr>
          <w:p>
            <w:pPr>
              <w:pStyle w:val="7"/>
              <w:jc w:val="center"/>
              <w:rPr>
                <w:rFonts w:hAnsi="宋体" w:cs="宋体"/>
                <w:szCs w:val="21"/>
                <w:highlight w:val="none"/>
              </w:rPr>
            </w:pPr>
            <w:r>
              <w:rPr>
                <w:rFonts w:hint="eastAsia" w:hAnsi="宋体" w:cs="宋体"/>
                <w:szCs w:val="21"/>
                <w:highlight w:val="none"/>
              </w:rPr>
              <w:t>集中收集至厂区垃圾桶内，送环卫部门指定地点。</w:t>
            </w:r>
          </w:p>
        </w:tc>
        <w:tc>
          <w:tcPr>
            <w:tcW w:w="1945" w:type="pct"/>
            <w:tcBorders>
              <w:bottom w:val="single" w:color="auto" w:sz="4" w:space="0"/>
              <w:tl2br w:val="nil"/>
              <w:tr2bl w:val="nil"/>
            </w:tcBorders>
            <w:vAlign w:val="center"/>
          </w:tcPr>
          <w:p>
            <w:pPr>
              <w:spacing w:line="320" w:lineRule="exact"/>
              <w:jc w:val="center"/>
              <w:rPr>
                <w:rFonts w:ascii="宋体" w:hAnsi="宋体" w:cs="宋体"/>
                <w:color w:val="FF0000"/>
                <w:szCs w:val="21"/>
                <w:highlight w:val="none"/>
              </w:rPr>
            </w:pPr>
            <w:r>
              <w:rPr>
                <w:rFonts w:hint="eastAsia"/>
                <w:highlight w:val="none"/>
              </w:rPr>
              <w:t>集中收集，送当地环卫部门指定地点统一处置</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9" w:hRule="atLeast"/>
        </w:trPr>
        <w:tc>
          <w:tcPr>
            <w:tcW w:w="239" w:type="pct"/>
            <w:tcBorders>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噪声</w:t>
            </w:r>
          </w:p>
        </w:tc>
        <w:tc>
          <w:tcPr>
            <w:tcW w:w="688" w:type="pct"/>
            <w:tcBorders>
              <w:right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各类生产设备</w:t>
            </w:r>
          </w:p>
        </w:tc>
        <w:tc>
          <w:tcPr>
            <w:tcW w:w="2126" w:type="pct"/>
            <w:tcBorders>
              <w:left w:val="single" w:color="auto" w:sz="4" w:space="0"/>
              <w:tl2br w:val="nil"/>
              <w:tr2bl w:val="nil"/>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室内安装，基础减振，</w:t>
            </w:r>
            <w:r>
              <w:rPr>
                <w:rFonts w:hint="eastAsia" w:ascii="宋体" w:hAnsi="宋体" w:cs="宋体"/>
                <w:bCs/>
                <w:szCs w:val="21"/>
                <w:highlight w:val="none"/>
              </w:rPr>
              <w:t>安装隔声装置。</w:t>
            </w:r>
            <w:r>
              <w:rPr>
                <w:rFonts w:hint="eastAsia" w:ascii="宋体" w:hAnsi="宋体" w:cs="宋体"/>
                <w:szCs w:val="21"/>
                <w:highlight w:val="none"/>
              </w:rPr>
              <w:t>达到《工业企业厂界环境噪声排放标准》（GB12348-2008）中2类标准，</w:t>
            </w:r>
            <w:r>
              <w:rPr>
                <w:rFonts w:hint="eastAsia" w:ascii="宋体" w:hAnsi="宋体" w:cs="宋体"/>
                <w:spacing w:val="4"/>
                <w:szCs w:val="21"/>
                <w:highlight w:val="none"/>
              </w:rPr>
              <w:t>昼间60dB(A) 夜间50dB(A)。</w:t>
            </w:r>
          </w:p>
        </w:tc>
        <w:tc>
          <w:tcPr>
            <w:tcW w:w="1945" w:type="pct"/>
            <w:tcBorders>
              <w:tl2br w:val="nil"/>
              <w:tr2bl w:val="nil"/>
            </w:tcBorders>
            <w:vAlign w:val="center"/>
          </w:tcPr>
          <w:p>
            <w:pPr>
              <w:spacing w:line="320" w:lineRule="exact"/>
              <w:jc w:val="center"/>
              <w:rPr>
                <w:rFonts w:ascii="宋体" w:hAnsi="宋体" w:cs="宋体"/>
                <w:color w:val="FF0000"/>
                <w:szCs w:val="21"/>
                <w:highlight w:val="none"/>
              </w:rPr>
            </w:pPr>
            <w:r>
              <w:rPr>
                <w:rFonts w:hint="eastAsia" w:ascii="Times New Roman" w:hAnsi="Times New Roman"/>
                <w:szCs w:val="21"/>
                <w:highlight w:val="none"/>
              </w:rPr>
              <w:t>生产设备全部安装在封闭车间内，进行基础减震，建筑隔音等。</w:t>
            </w:r>
            <w:r>
              <w:rPr>
                <w:rFonts w:hint="eastAsia" w:ascii="宋体" w:hAnsi="宋体" w:cs="宋体"/>
                <w:szCs w:val="21"/>
                <w:highlight w:val="none"/>
              </w:rPr>
              <w:t>达到《工业企业厂界环境噪声排放标准》（GB12348-2008）中2类标准</w:t>
            </w:r>
          </w:p>
        </w:tc>
      </w:tr>
    </w:tbl>
    <w:p>
      <w:pPr>
        <w:pStyle w:val="13"/>
        <w:spacing w:line="440" w:lineRule="exact"/>
        <w:jc w:val="center"/>
        <w:rPr>
          <w:rFonts w:ascii="Times New Roman" w:hAnsi="Times New Roman" w:cs="Times New Roman"/>
          <w:b/>
          <w:bCs/>
          <w:color w:val="auto"/>
          <w:kern w:val="2"/>
          <w:sz w:val="21"/>
          <w:szCs w:val="21"/>
          <w:highlight w:val="none"/>
        </w:rPr>
      </w:pPr>
      <w:r>
        <w:rPr>
          <w:rFonts w:ascii="Times New Roman" w:hAnsi="Times New Roman" w:cs="Times New Roman"/>
          <w:b/>
          <w:bCs/>
          <w:color w:val="auto"/>
          <w:kern w:val="2"/>
          <w:sz w:val="21"/>
          <w:szCs w:val="21"/>
          <w:highlight w:val="none"/>
        </w:rPr>
        <w:t>表4  环境影响评价批复文件有关要求落实情况汇总表</w:t>
      </w:r>
    </w:p>
    <w:tbl>
      <w:tblPr>
        <w:tblStyle w:val="10"/>
        <w:tblW w:w="504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4688"/>
        <w:gridCol w:w="42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27" w:hRule="atLeast"/>
          <w:jc w:val="center"/>
        </w:trPr>
        <w:tc>
          <w:tcPr>
            <w:tcW w:w="5000" w:type="pct"/>
            <w:gridSpan w:val="2"/>
            <w:vAlign w:val="center"/>
          </w:tcPr>
          <w:p>
            <w:pPr>
              <w:spacing w:line="240" w:lineRule="exact"/>
              <w:rPr>
                <w:rFonts w:ascii="宋体" w:hAnsi="宋体"/>
                <w:szCs w:val="21"/>
                <w:highlight w:val="none"/>
              </w:rPr>
            </w:pPr>
            <w:r>
              <w:rPr>
                <w:rFonts w:hint="eastAsia" w:ascii="宋体" w:hAnsi="宋体"/>
                <w:szCs w:val="21"/>
                <w:highlight w:val="none"/>
              </w:rPr>
              <w:t>文水县环境保护局  文环行审[2019]16号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2" w:hRule="atLeast"/>
          <w:jc w:val="center"/>
        </w:trPr>
        <w:tc>
          <w:tcPr>
            <w:tcW w:w="2616" w:type="pct"/>
            <w:vAlign w:val="center"/>
          </w:tcPr>
          <w:p>
            <w:pPr>
              <w:spacing w:line="240" w:lineRule="exact"/>
              <w:rPr>
                <w:rFonts w:ascii="宋体" w:hAnsi="宋体"/>
                <w:szCs w:val="21"/>
                <w:highlight w:val="none"/>
              </w:rPr>
            </w:pPr>
            <w:r>
              <w:rPr>
                <w:rFonts w:hint="eastAsia" w:ascii="宋体" w:hAnsi="宋体"/>
                <w:szCs w:val="21"/>
                <w:highlight w:val="none"/>
              </w:rPr>
              <w:t>环评批复要求</w:t>
            </w:r>
          </w:p>
        </w:tc>
        <w:tc>
          <w:tcPr>
            <w:tcW w:w="2384" w:type="pct"/>
            <w:vAlign w:val="center"/>
          </w:tcPr>
          <w:p>
            <w:pPr>
              <w:spacing w:line="240" w:lineRule="exact"/>
              <w:rPr>
                <w:rFonts w:ascii="宋体" w:hAnsi="宋体"/>
                <w:szCs w:val="21"/>
                <w:highlight w:val="none"/>
              </w:rPr>
            </w:pPr>
            <w:r>
              <w:rPr>
                <w:rFonts w:hint="eastAsia" w:ascii="宋体" w:hAnsi="宋体"/>
                <w:szCs w:val="21"/>
                <w:highlight w:val="none"/>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6243" w:hRule="atLeast"/>
          <w:jc w:val="center"/>
        </w:trPr>
        <w:tc>
          <w:tcPr>
            <w:tcW w:w="2616" w:type="pct"/>
            <w:vAlign w:val="center"/>
          </w:tcPr>
          <w:p>
            <w:pPr>
              <w:spacing w:line="320" w:lineRule="exact"/>
              <w:rPr>
                <w:szCs w:val="21"/>
                <w:highlight w:val="none"/>
              </w:rPr>
            </w:pPr>
            <w:r>
              <w:rPr>
                <w:rFonts w:hint="eastAsia"/>
                <w:szCs w:val="21"/>
                <w:highlight w:val="none"/>
              </w:rPr>
              <w:t>1、强化各类生产废气的收集处理,落实大气污染防治 措施。各个产尘点安装相应有效废气治理设施,确保生产过 程产生的废气排放浓度符合《铸造行业大气污染物排放限 值》（T/CFA 030802-2-2017）中表1.中2.级排放标准和《山 西省重点行业挥发性有机物（VOCs）2017年年专项治理方案》 中工业涂装标准要求;厂区地面硬化、绿化,无裸露地表;</w:t>
            </w:r>
          </w:p>
        </w:tc>
        <w:tc>
          <w:tcPr>
            <w:tcW w:w="2384" w:type="pct"/>
            <w:vAlign w:val="center"/>
          </w:tcPr>
          <w:p>
            <w:pPr>
              <w:spacing w:line="320" w:lineRule="exact"/>
              <w:rPr>
                <w:rFonts w:hint="eastAsia" w:eastAsia="宋体"/>
                <w:color w:val="FF0000"/>
                <w:szCs w:val="21"/>
                <w:highlight w:val="none"/>
                <w:lang w:val="en-US" w:eastAsia="zh-CN"/>
              </w:rPr>
            </w:pPr>
            <w:r>
              <w:rPr>
                <w:rFonts w:hint="eastAsia" w:ascii="Times New Roman" w:hAnsi="Times New Roman"/>
                <w:szCs w:val="21"/>
                <w:highlight w:val="none"/>
              </w:rPr>
              <w:t>设2台3t/h中频炉和1台2t/h中频炉（备用）配备可移动式集尘罩与球化废气共用，废气通过龙卷风集气+上方二次集气收集后经</w:t>
            </w:r>
            <w:r>
              <w:rPr>
                <w:rFonts w:ascii="Times New Roman" w:hAnsi="Times New Roman"/>
                <w:szCs w:val="21"/>
                <w:highlight w:val="none"/>
              </w:rPr>
              <w:t>布袋除尘器</w:t>
            </w:r>
            <w:r>
              <w:rPr>
                <w:rFonts w:hint="eastAsia" w:ascii="Times New Roman" w:hAnsi="Times New Roman"/>
                <w:szCs w:val="21"/>
                <w:highlight w:val="none"/>
              </w:rPr>
              <w:t>处理后</w:t>
            </w:r>
            <w:r>
              <w:rPr>
                <w:rFonts w:ascii="Times New Roman" w:hAnsi="Times New Roman"/>
                <w:szCs w:val="21"/>
                <w:highlight w:val="none"/>
              </w:rPr>
              <w:t>15m高排气筒排放</w:t>
            </w:r>
            <w:r>
              <w:rPr>
                <w:rFonts w:hint="eastAsia" w:ascii="Times New Roman" w:hAnsi="Times New Roman"/>
                <w:szCs w:val="21"/>
                <w:highlight w:val="none"/>
              </w:rPr>
              <w:t>；浇筑冷却废气配套</w:t>
            </w:r>
            <w:r>
              <w:rPr>
                <w:rFonts w:ascii="Times New Roman" w:hAnsi="Times New Roman"/>
                <w:szCs w:val="21"/>
                <w:highlight w:val="none"/>
              </w:rPr>
              <w:t>集气罩+布袋除尘器，经15m高排气筒排放</w:t>
            </w:r>
            <w:r>
              <w:rPr>
                <w:rFonts w:hint="eastAsia" w:ascii="Times New Roman" w:hAnsi="Times New Roman"/>
                <w:szCs w:val="21"/>
                <w:highlight w:val="none"/>
              </w:rPr>
              <w:t>；落砂采用</w:t>
            </w:r>
            <w:r>
              <w:rPr>
                <w:rFonts w:hint="eastAsia" w:ascii="Times New Roman" w:hAnsi="Times New Roman"/>
                <w:bCs/>
                <w:szCs w:val="21"/>
                <w:highlight w:val="none"/>
              </w:rPr>
              <w:t>封闭式落砂工序，经布袋除尘器处理，通过</w:t>
            </w:r>
            <w:r>
              <w:rPr>
                <w:rFonts w:ascii="Times New Roman" w:hAnsi="Times New Roman"/>
                <w:szCs w:val="21"/>
                <w:highlight w:val="none"/>
              </w:rPr>
              <w:t>15m高排气筒排放</w:t>
            </w:r>
            <w:r>
              <w:rPr>
                <w:rFonts w:hint="eastAsia" w:ascii="Times New Roman" w:hAnsi="Times New Roman"/>
                <w:szCs w:val="21"/>
                <w:highlight w:val="none"/>
              </w:rPr>
              <w:t>；砂处理及混砂设</w:t>
            </w:r>
            <w:r>
              <w:rPr>
                <w:rFonts w:ascii="Times New Roman" w:hAnsi="Times New Roman"/>
                <w:highlight w:val="none"/>
              </w:rPr>
              <w:t>1条全制动造型线</w:t>
            </w:r>
            <w:r>
              <w:rPr>
                <w:rFonts w:hint="eastAsia" w:ascii="Times New Roman" w:hAnsi="Times New Roman"/>
                <w:highlight w:val="none"/>
              </w:rPr>
              <w:t>，</w:t>
            </w:r>
            <w:r>
              <w:rPr>
                <w:rFonts w:ascii="Times New Roman" w:hAnsi="Times New Roman"/>
                <w:szCs w:val="21"/>
                <w:highlight w:val="none"/>
              </w:rPr>
              <w:t>处理后的旧砂进入料仓供混砂回用。膨润土、煤粉、新砂及旧砂进行混合。砂处理和混砂</w:t>
            </w:r>
            <w:r>
              <w:rPr>
                <w:rFonts w:hint="eastAsia" w:ascii="Times New Roman" w:hAnsi="Times New Roman"/>
                <w:szCs w:val="21"/>
                <w:highlight w:val="none"/>
              </w:rPr>
              <w:t>废气</w:t>
            </w:r>
            <w:r>
              <w:rPr>
                <w:rFonts w:ascii="Times New Roman" w:hAnsi="Times New Roman"/>
                <w:szCs w:val="21"/>
                <w:highlight w:val="none"/>
              </w:rPr>
              <w:t>由集气管道收集通过一套布袋除尘器处理。</w:t>
            </w:r>
            <w:r>
              <w:rPr>
                <w:rFonts w:hint="eastAsia" w:ascii="Times New Roman" w:hAnsi="Times New Roman"/>
                <w:szCs w:val="21"/>
                <w:highlight w:val="none"/>
              </w:rPr>
              <w:t>制芯废气配备“布袋除尘器+2级</w:t>
            </w:r>
            <w:r>
              <w:rPr>
                <w:rFonts w:ascii="Times New Roman" w:hAnsi="Times New Roman"/>
                <w:szCs w:val="21"/>
                <w:highlight w:val="none"/>
              </w:rPr>
              <w:t>活性炭吸附装置</w:t>
            </w:r>
            <w:r>
              <w:rPr>
                <w:rFonts w:hint="eastAsia" w:ascii="Times New Roman" w:hAnsi="Times New Roman"/>
                <w:szCs w:val="21"/>
                <w:highlight w:val="none"/>
              </w:rPr>
              <w:t>”处理，废气与砂处理混砂共用排气筒；抛丸与打磨</w:t>
            </w:r>
            <w:r>
              <w:rPr>
                <w:rFonts w:hint="eastAsia" w:ascii="Times New Roman" w:hAnsi="Times New Roman"/>
                <w:bCs/>
                <w:szCs w:val="21"/>
                <w:highlight w:val="none"/>
              </w:rPr>
              <w:t>共用布袋除尘器，经15m高排气筒排放；蘸漆房废气和</w:t>
            </w:r>
            <w:r>
              <w:rPr>
                <w:rFonts w:hint="eastAsia" w:ascii="Times New Roman" w:hAnsi="Times New Roman"/>
                <w:szCs w:val="21"/>
                <w:highlight w:val="none"/>
              </w:rPr>
              <w:t>固化废气合并收集后经“UV光氧+</w:t>
            </w:r>
            <w:r>
              <w:rPr>
                <w:rFonts w:ascii="Times New Roman" w:hAnsi="Times New Roman"/>
                <w:szCs w:val="21"/>
                <w:highlight w:val="none"/>
              </w:rPr>
              <w:t>活性炭吸附</w:t>
            </w:r>
            <w:r>
              <w:rPr>
                <w:rFonts w:hint="eastAsia" w:ascii="Times New Roman" w:hAnsi="Times New Roman"/>
                <w:szCs w:val="21"/>
                <w:highlight w:val="none"/>
              </w:rPr>
              <w:t>+催化燃烧”处理后公用1根排气筒排放；喷塑粉尘</w:t>
            </w:r>
            <w:r>
              <w:rPr>
                <w:rFonts w:hint="eastAsia" w:ascii="Times New Roman" w:hAnsi="Times New Roman" w:cs="Times New Roman"/>
                <w:color w:val="auto"/>
                <w:sz w:val="21"/>
                <w:szCs w:val="21"/>
                <w:highlight w:val="none"/>
                <w:lang w:eastAsia="zh-CN"/>
              </w:rPr>
              <w:t>经</w:t>
            </w:r>
            <w:r>
              <w:rPr>
                <w:rFonts w:hint="default" w:ascii="Times New Roman" w:hAnsi="Times New Roman" w:cs="Times New Roman"/>
                <w:color w:val="auto"/>
                <w:sz w:val="21"/>
                <w:szCs w:val="21"/>
                <w:highlight w:val="none"/>
                <w:lang w:val="en-US" w:eastAsia="zh-CN"/>
              </w:rPr>
              <w:t>1套</w:t>
            </w:r>
            <w:r>
              <w:rPr>
                <w:rFonts w:hint="default" w:ascii="Times New Roman" w:hAnsi="Times New Roman" w:cs="Times New Roman"/>
                <w:color w:val="auto"/>
                <w:sz w:val="21"/>
                <w:szCs w:val="21"/>
                <w:highlight w:val="none"/>
              </w:rPr>
              <w:t>旋风</w:t>
            </w:r>
            <w:r>
              <w:rPr>
                <w:rFonts w:hint="eastAsia" w:ascii="Times New Roman" w:hAnsi="Times New Roman" w:cs="Times New Roman"/>
                <w:color w:val="auto"/>
                <w:sz w:val="21"/>
                <w:szCs w:val="21"/>
                <w:highlight w:val="none"/>
                <w:lang w:eastAsia="zh-CN"/>
              </w:rPr>
              <w:t>除尘</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布袋除尘</w:t>
            </w:r>
            <w:r>
              <w:rPr>
                <w:rFonts w:ascii="Times New Roman" w:hAnsi="Times New Roman"/>
                <w:szCs w:val="21"/>
                <w:highlight w:val="none"/>
              </w:rPr>
              <w:t>处理后</w:t>
            </w:r>
            <w:r>
              <w:rPr>
                <w:rFonts w:hint="eastAsia" w:ascii="Times New Roman" w:hAnsi="Times New Roman"/>
                <w:szCs w:val="21"/>
                <w:highlight w:val="none"/>
              </w:rPr>
              <w:t>通过</w:t>
            </w:r>
            <w:r>
              <w:rPr>
                <w:rFonts w:ascii="Times New Roman" w:hAnsi="Times New Roman"/>
                <w:szCs w:val="21"/>
                <w:highlight w:val="none"/>
              </w:rPr>
              <w:t>15m的排气筒排放</w:t>
            </w:r>
            <w:r>
              <w:rPr>
                <w:rFonts w:hint="eastAsia" w:ascii="Times New Roman" w:hAnsi="Times New Roman"/>
                <w:szCs w:val="21"/>
                <w:highlight w:val="none"/>
              </w:rPr>
              <w:t>；粉尘及有机废气达标排放。厂区地面硬化、绿化</w:t>
            </w:r>
            <w:r>
              <w:rPr>
                <w:rFonts w:hint="eastAsia" w:ascii="Times New Roman" w:hAnsi="Times New Roman"/>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950" w:hRule="atLeast"/>
          <w:jc w:val="center"/>
        </w:trPr>
        <w:tc>
          <w:tcPr>
            <w:tcW w:w="2616" w:type="pct"/>
            <w:vAlign w:val="center"/>
          </w:tcPr>
          <w:p>
            <w:pPr>
              <w:spacing w:line="320" w:lineRule="exact"/>
              <w:jc w:val="center"/>
              <w:rPr>
                <w:szCs w:val="21"/>
                <w:highlight w:val="none"/>
              </w:rPr>
            </w:pPr>
            <w:r>
              <w:rPr>
                <w:rFonts w:hint="eastAsia"/>
                <w:szCs w:val="21"/>
                <w:highlight w:val="none"/>
              </w:rPr>
              <w:t>2、落实好噪声污染防治措施。各产噪声设备采取隔音、减振等措施，确保厂界噪声符合《工业企业厂界环境噪声排放标准》（GB12348-2008）中2类标准要求。</w:t>
            </w:r>
          </w:p>
        </w:tc>
        <w:tc>
          <w:tcPr>
            <w:tcW w:w="2384" w:type="pct"/>
            <w:vAlign w:val="center"/>
          </w:tcPr>
          <w:p>
            <w:pPr>
              <w:spacing w:line="320" w:lineRule="exact"/>
              <w:jc w:val="center"/>
              <w:rPr>
                <w:color w:val="FF0000"/>
                <w:szCs w:val="21"/>
                <w:highlight w:val="none"/>
              </w:rPr>
            </w:pPr>
            <w:r>
              <w:rPr>
                <w:rFonts w:hint="eastAsia" w:ascii="Times New Roman" w:hAnsi="Times New Roman"/>
                <w:szCs w:val="21"/>
                <w:highlight w:val="none"/>
              </w:rPr>
              <w:t>生产设备全部安装在封闭车间内，进行基础减震，建筑隔音等</w:t>
            </w:r>
            <w:r>
              <w:rPr>
                <w:rFonts w:hint="eastAsia"/>
                <w:szCs w:val="21"/>
                <w:highlight w:val="none"/>
                <w:lang w:val="zh-CN"/>
              </w:rPr>
              <w:t>，保证设备处于良好的运转状态，厂界噪声达标排放。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1153" w:hRule="atLeast"/>
          <w:jc w:val="center"/>
        </w:trPr>
        <w:tc>
          <w:tcPr>
            <w:tcW w:w="2616" w:type="pct"/>
            <w:vAlign w:val="center"/>
          </w:tcPr>
          <w:p>
            <w:pPr>
              <w:spacing w:line="320" w:lineRule="exact"/>
              <w:jc w:val="center"/>
              <w:rPr>
                <w:szCs w:val="21"/>
                <w:highlight w:val="none"/>
              </w:rPr>
            </w:pPr>
            <w:r>
              <w:rPr>
                <w:rFonts w:hint="eastAsia"/>
                <w:szCs w:val="21"/>
                <w:highlight w:val="none"/>
              </w:rPr>
              <w:t>3、严格落实水污染防治措施。中频电炉冷却水循环使 用不外排;生活污水经沉淀处理后用于厂区洒水抑尘,不外 排。</w:t>
            </w:r>
          </w:p>
        </w:tc>
        <w:tc>
          <w:tcPr>
            <w:tcW w:w="2384" w:type="pct"/>
            <w:vAlign w:val="center"/>
          </w:tcPr>
          <w:p>
            <w:pPr>
              <w:spacing w:line="320" w:lineRule="exact"/>
              <w:jc w:val="center"/>
              <w:rPr>
                <w:szCs w:val="21"/>
                <w:highlight w:val="none"/>
              </w:rPr>
            </w:pPr>
            <w:r>
              <w:rPr>
                <w:rFonts w:hint="eastAsia"/>
                <w:szCs w:val="21"/>
                <w:highlight w:val="none"/>
              </w:rPr>
              <w:t>厂区建有旱厕，定期由当地农户清掏，用于施肥，洗漱水用于厂区洒水抑尘；中频电炉冷却水，工艺生产过程中水质没有发生大变化，回用于混砂用水或厂区泼洒抑尘，不外排。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286" w:hRule="atLeast"/>
          <w:jc w:val="center"/>
        </w:trPr>
        <w:tc>
          <w:tcPr>
            <w:tcW w:w="2616" w:type="pct"/>
            <w:vAlign w:val="center"/>
          </w:tcPr>
          <w:p>
            <w:pPr>
              <w:spacing w:line="320" w:lineRule="exact"/>
              <w:jc w:val="center"/>
              <w:rPr>
                <w:szCs w:val="21"/>
                <w:highlight w:val="none"/>
              </w:rPr>
            </w:pPr>
            <w:r>
              <w:rPr>
                <w:rFonts w:hint="eastAsia"/>
                <w:szCs w:val="21"/>
                <w:highlight w:val="none"/>
              </w:rPr>
              <w:t>4、</w:t>
            </w:r>
            <w:r>
              <w:rPr>
                <w:szCs w:val="21"/>
                <w:highlight w:val="none"/>
              </w:rPr>
              <w:t>按照分类收集和综合利用的原则,落实好固体废物 处理处置。生活垃圾收集后,送当地环卫部门指定地点处置</w:t>
            </w:r>
            <w:r>
              <w:rPr>
                <w:rFonts w:hint="eastAsia"/>
                <w:szCs w:val="21"/>
                <w:highlight w:val="none"/>
              </w:rPr>
              <w:t>；</w:t>
            </w:r>
            <w:r>
              <w:rPr>
                <w:szCs w:val="21"/>
                <w:highlight w:val="none"/>
              </w:rPr>
              <w:t>生产废渣回用或外售做为建材</w:t>
            </w:r>
            <w:r>
              <w:rPr>
                <w:rFonts w:hint="eastAsia"/>
                <w:szCs w:val="21"/>
                <w:highlight w:val="none"/>
              </w:rPr>
              <w:t>；</w:t>
            </w:r>
            <w:r>
              <w:rPr>
                <w:szCs w:val="21"/>
                <w:highlight w:val="none"/>
              </w:rPr>
              <w:t>废活性炭、油漆渣(桶)、 废矿物油及废棉纱等危险废物分类分区收集至危废暂存间</w:t>
            </w:r>
            <w:r>
              <w:rPr>
                <w:rFonts w:hint="eastAsia"/>
                <w:szCs w:val="21"/>
                <w:highlight w:val="none"/>
              </w:rPr>
              <w:t>，</w:t>
            </w:r>
            <w:r>
              <w:rPr>
                <w:szCs w:val="21"/>
                <w:highlight w:val="none"/>
              </w:rPr>
              <w:t>并严格按照国家和省危险废物管理的有关规定</w:t>
            </w:r>
            <w:r>
              <w:rPr>
                <w:rFonts w:hint="eastAsia"/>
                <w:szCs w:val="21"/>
                <w:highlight w:val="none"/>
              </w:rPr>
              <w:t>，</w:t>
            </w:r>
            <w:r>
              <w:rPr>
                <w:szCs w:val="21"/>
                <w:highlight w:val="none"/>
              </w:rPr>
              <w:t>送有资质的单位处理处置</w:t>
            </w:r>
            <w:r>
              <w:rPr>
                <w:rFonts w:hint="eastAsia"/>
                <w:szCs w:val="21"/>
                <w:highlight w:val="none"/>
              </w:rPr>
              <w:t>，</w:t>
            </w:r>
            <w:r>
              <w:rPr>
                <w:szCs w:val="21"/>
                <w:highlight w:val="none"/>
              </w:rPr>
              <w:t>执行危险废物转移联单制度</w:t>
            </w:r>
            <w:r>
              <w:rPr>
                <w:rFonts w:hint="eastAsia"/>
                <w:szCs w:val="21"/>
                <w:highlight w:val="none"/>
              </w:rPr>
              <w:t>；</w:t>
            </w:r>
            <w:r>
              <w:rPr>
                <w:szCs w:val="21"/>
                <w:highlight w:val="none"/>
              </w:rPr>
              <w:t>厂区内危废及一般固废临时贮存设施及场所应符合国家《危险废物贮存污染控制标准》（GB18597-2001）及2013修改单和《一般工业固体废物贮存、处置场污染控制标准》（GB18599-2001）及其2013修改单相关规定。</w:t>
            </w:r>
          </w:p>
        </w:tc>
        <w:tc>
          <w:tcPr>
            <w:tcW w:w="2384" w:type="pct"/>
            <w:vAlign w:val="center"/>
          </w:tcPr>
          <w:p>
            <w:pPr>
              <w:spacing w:line="320" w:lineRule="exact"/>
              <w:jc w:val="center"/>
              <w:rPr>
                <w:color w:val="FF0000"/>
                <w:szCs w:val="21"/>
                <w:highlight w:val="none"/>
              </w:rPr>
            </w:pPr>
            <w:r>
              <w:rPr>
                <w:rFonts w:hint="eastAsia"/>
                <w:szCs w:val="21"/>
                <w:highlight w:val="none"/>
              </w:rPr>
              <w:t>废砂、中频炉炉渣、除尘灰</w:t>
            </w:r>
            <w:r>
              <w:rPr>
                <w:rFonts w:ascii="Times New Roman" w:hAnsi="Times New Roman"/>
                <w:szCs w:val="21"/>
                <w:highlight w:val="none"/>
              </w:rPr>
              <w:t>收集后作为建筑材料</w:t>
            </w:r>
            <w:r>
              <w:rPr>
                <w:rFonts w:hint="eastAsia" w:ascii="Times New Roman" w:hAnsi="Times New Roman"/>
                <w:szCs w:val="21"/>
                <w:highlight w:val="none"/>
              </w:rPr>
              <w:t>外</w:t>
            </w:r>
            <w:r>
              <w:rPr>
                <w:rFonts w:ascii="Times New Roman" w:hAnsi="Times New Roman"/>
                <w:szCs w:val="21"/>
                <w:highlight w:val="none"/>
              </w:rPr>
              <w:t>售</w:t>
            </w:r>
            <w:r>
              <w:rPr>
                <w:rFonts w:hint="eastAsia"/>
                <w:szCs w:val="21"/>
                <w:highlight w:val="none"/>
              </w:rPr>
              <w:t>；废铸件回炉熔炼；</w:t>
            </w:r>
            <w:r>
              <w:rPr>
                <w:szCs w:val="21"/>
                <w:highlight w:val="none"/>
              </w:rPr>
              <w:t>废活性炭</w:t>
            </w:r>
            <w:r>
              <w:rPr>
                <w:rFonts w:hint="eastAsia"/>
                <w:szCs w:val="21"/>
                <w:highlight w:val="none"/>
              </w:rPr>
              <w:t>、</w:t>
            </w:r>
            <w:r>
              <w:rPr>
                <w:szCs w:val="21"/>
                <w:highlight w:val="none"/>
              </w:rPr>
              <w:t>废</w:t>
            </w:r>
            <w:r>
              <w:rPr>
                <w:rFonts w:hint="eastAsia"/>
                <w:szCs w:val="21"/>
                <w:highlight w:val="none"/>
              </w:rPr>
              <w:t>机</w:t>
            </w:r>
            <w:r>
              <w:rPr>
                <w:szCs w:val="21"/>
                <w:highlight w:val="none"/>
              </w:rPr>
              <w:t>油属于危险废物</w:t>
            </w:r>
            <w:r>
              <w:rPr>
                <w:rFonts w:hint="eastAsia"/>
                <w:szCs w:val="21"/>
                <w:highlight w:val="none"/>
              </w:rPr>
              <w:t>，设</w:t>
            </w:r>
            <w:r>
              <w:rPr>
                <w:szCs w:val="21"/>
                <w:highlight w:val="none"/>
              </w:rPr>
              <w:t>一座危废暂存间，</w:t>
            </w:r>
            <w:r>
              <w:rPr>
                <w:rFonts w:hint="eastAsia"/>
                <w:szCs w:val="21"/>
                <w:highlight w:val="none"/>
              </w:rPr>
              <w:t>危废暂存至危废间内，</w:t>
            </w:r>
            <w:r>
              <w:rPr>
                <w:szCs w:val="21"/>
                <w:highlight w:val="none"/>
              </w:rPr>
              <w:t>定期交由</w:t>
            </w:r>
            <w:r>
              <w:rPr>
                <w:rFonts w:hint="eastAsia"/>
                <w:szCs w:val="21"/>
                <w:highlight w:val="none"/>
              </w:rPr>
              <w:t>有资质单位</w:t>
            </w:r>
            <w:r>
              <w:rPr>
                <w:rFonts w:hint="eastAsia" w:eastAsia="宋体" w:cs="Times New Roman"/>
                <w:color w:val="auto"/>
                <w:szCs w:val="21"/>
                <w:highlight w:val="none"/>
                <w:lang w:val="en-US" w:eastAsia="zh-CN"/>
              </w:rPr>
              <w:t>广灵金隅水泥有限公司</w:t>
            </w:r>
            <w:r>
              <w:rPr>
                <w:rFonts w:hint="eastAsia"/>
                <w:szCs w:val="21"/>
                <w:highlight w:val="none"/>
              </w:rPr>
              <w:t>进行处置</w:t>
            </w:r>
            <w:r>
              <w:rPr>
                <w:szCs w:val="21"/>
                <w:highlight w:val="none"/>
              </w:rPr>
              <w:t>；生活垃圾定</w:t>
            </w:r>
            <w:r>
              <w:rPr>
                <w:szCs w:val="21"/>
                <w:highlight w:val="none"/>
              </w:rPr>
              <w:t>期送往环卫部门指定地点</w:t>
            </w:r>
            <w:r>
              <w:rPr>
                <w:rFonts w:hint="eastAsia"/>
                <w:szCs w:val="21"/>
                <w:highlight w:val="none"/>
              </w:rPr>
              <w:t>统一处理</w:t>
            </w:r>
            <w:r>
              <w:rPr>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1180" w:hRule="atLeast"/>
          <w:jc w:val="center"/>
        </w:trPr>
        <w:tc>
          <w:tcPr>
            <w:tcW w:w="2616" w:type="pct"/>
            <w:vAlign w:val="center"/>
          </w:tcPr>
          <w:p>
            <w:pPr>
              <w:spacing w:line="320" w:lineRule="exact"/>
              <w:rPr>
                <w:szCs w:val="21"/>
                <w:highlight w:val="none"/>
              </w:rPr>
            </w:pPr>
            <w:r>
              <w:rPr>
                <w:rFonts w:hint="eastAsia"/>
                <w:szCs w:val="21"/>
                <w:highlight w:val="none"/>
              </w:rPr>
              <w:t>5、加强环境管理与环境监测。严格按环评报告的要求认真落实环保措施，明确职责，专人管理，切实搞好环境管理和监测工作，保障环保设施的正常运行。</w:t>
            </w:r>
          </w:p>
        </w:tc>
        <w:tc>
          <w:tcPr>
            <w:tcW w:w="2384" w:type="pct"/>
            <w:vAlign w:val="center"/>
          </w:tcPr>
          <w:p>
            <w:pPr>
              <w:spacing w:line="320" w:lineRule="exact"/>
              <w:jc w:val="center"/>
              <w:rPr>
                <w:szCs w:val="21"/>
                <w:highlight w:val="none"/>
              </w:rPr>
            </w:pPr>
            <w:r>
              <w:rPr>
                <w:rFonts w:hint="eastAsia"/>
                <w:szCs w:val="21"/>
                <w:highlight w:val="none"/>
              </w:rPr>
              <w:t>/</w:t>
            </w:r>
          </w:p>
        </w:tc>
      </w:tr>
    </w:tbl>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四、环境保护设施调试效果</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2022年7月4日~7月6日</w:t>
      </w:r>
      <w:r>
        <w:rPr>
          <w:rFonts w:hint="eastAsia" w:ascii="Times New Roman" w:hAnsi="Times New Roman"/>
          <w:sz w:val="24"/>
          <w:szCs w:val="24"/>
          <w:highlight w:val="none"/>
        </w:rPr>
        <w:t>，建设单位</w:t>
      </w:r>
      <w:r>
        <w:rPr>
          <w:rFonts w:ascii="Times New Roman" w:hAnsi="Times New Roman"/>
          <w:sz w:val="24"/>
          <w:szCs w:val="24"/>
          <w:highlight w:val="none"/>
        </w:rPr>
        <w:t xml:space="preserve">委托山西魏立环境检测有限公司对本项目进行了竣工环境保护验收监测，监测报告表明： </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1、废气</w:t>
      </w:r>
    </w:p>
    <w:p>
      <w:pPr>
        <w:pStyle w:val="2"/>
        <w:spacing w:after="0" w:line="440" w:lineRule="exact"/>
        <w:ind w:left="0" w:leftChars="0" w:firstLine="480"/>
        <w:rPr>
          <w:sz w:val="24"/>
          <w:szCs w:val="24"/>
          <w:highlight w:val="none"/>
        </w:rPr>
      </w:pPr>
      <w:r>
        <w:rPr>
          <w:rFonts w:hint="eastAsia"/>
          <w:sz w:val="24"/>
          <w:szCs w:val="24"/>
          <w:highlight w:val="none"/>
        </w:rPr>
        <w:t xml:space="preserve">（1） </w:t>
      </w:r>
      <w:r>
        <w:rPr>
          <w:sz w:val="24"/>
          <w:szCs w:val="24"/>
          <w:highlight w:val="none"/>
        </w:rPr>
        <w:t>中频炉+球化包废气</w:t>
      </w:r>
      <w:r>
        <w:rPr>
          <w:rFonts w:hint="eastAsia"/>
          <w:sz w:val="24"/>
          <w:szCs w:val="24"/>
          <w:highlight w:val="none"/>
        </w:rPr>
        <w:t>颗粒物</w:t>
      </w:r>
      <w:r>
        <w:rPr>
          <w:sz w:val="24"/>
          <w:szCs w:val="24"/>
          <w:highlight w:val="none"/>
        </w:rPr>
        <w:t>排放浓度最大值为</w:t>
      </w:r>
      <w:r>
        <w:rPr>
          <w:rFonts w:hint="eastAsia"/>
          <w:sz w:val="24"/>
          <w:szCs w:val="24"/>
          <w:highlight w:val="none"/>
        </w:rPr>
        <w:t>12.3</w:t>
      </w:r>
      <w:r>
        <w:rPr>
          <w:sz w:val="24"/>
          <w:szCs w:val="24"/>
          <w:highlight w:val="none"/>
        </w:rPr>
        <w:t>mg/m</w:t>
      </w:r>
      <w:r>
        <w:rPr>
          <w:sz w:val="24"/>
          <w:szCs w:val="24"/>
          <w:highlight w:val="none"/>
          <w:vertAlign w:val="superscript"/>
        </w:rPr>
        <w:t>3</w:t>
      </w:r>
      <w:r>
        <w:rPr>
          <w:sz w:val="24"/>
          <w:szCs w:val="24"/>
          <w:highlight w:val="none"/>
        </w:rPr>
        <w:t>，</w:t>
      </w:r>
      <w:r>
        <w:rPr>
          <w:rFonts w:hint="eastAsia" w:hAnsi="宋体"/>
          <w:sz w:val="24"/>
          <w:szCs w:val="24"/>
          <w:highlight w:val="none"/>
        </w:rPr>
        <w:t>浇筑、冷却废气</w:t>
      </w:r>
      <w:r>
        <w:rPr>
          <w:rFonts w:hint="eastAsia"/>
          <w:sz w:val="24"/>
          <w:szCs w:val="24"/>
          <w:highlight w:val="none"/>
        </w:rPr>
        <w:t>颗粒物排放浓度最大值为11.8mg/m</w:t>
      </w:r>
      <w:r>
        <w:rPr>
          <w:rFonts w:hint="eastAsia"/>
          <w:sz w:val="24"/>
          <w:szCs w:val="24"/>
          <w:highlight w:val="none"/>
          <w:vertAlign w:val="superscript"/>
        </w:rPr>
        <w:t>3</w:t>
      </w:r>
      <w:r>
        <w:rPr>
          <w:rFonts w:hint="eastAsia"/>
          <w:sz w:val="24"/>
          <w:szCs w:val="24"/>
          <w:highlight w:val="none"/>
        </w:rPr>
        <w:t>，落砂</w:t>
      </w:r>
      <w:r>
        <w:rPr>
          <w:sz w:val="24"/>
          <w:szCs w:val="24"/>
          <w:highlight w:val="none"/>
        </w:rPr>
        <w:t>废气</w:t>
      </w:r>
      <w:r>
        <w:rPr>
          <w:rFonts w:hint="eastAsia"/>
          <w:sz w:val="24"/>
          <w:szCs w:val="24"/>
          <w:highlight w:val="none"/>
        </w:rPr>
        <w:t>颗粒物</w:t>
      </w:r>
      <w:r>
        <w:rPr>
          <w:rFonts w:hAnsi="宋体"/>
          <w:sz w:val="24"/>
          <w:szCs w:val="24"/>
          <w:highlight w:val="none"/>
        </w:rPr>
        <w:t>排放浓度最大值为</w:t>
      </w:r>
      <w:r>
        <w:rPr>
          <w:rFonts w:hint="eastAsia" w:hAnsi="宋体"/>
          <w:sz w:val="24"/>
          <w:szCs w:val="24"/>
          <w:highlight w:val="none"/>
        </w:rPr>
        <w:t>12.4</w:t>
      </w:r>
      <w:r>
        <w:rPr>
          <w:rFonts w:hAnsi="宋体"/>
          <w:sz w:val="24"/>
          <w:szCs w:val="24"/>
          <w:highlight w:val="none"/>
        </w:rPr>
        <w:t>mg/m</w:t>
      </w:r>
      <w:r>
        <w:rPr>
          <w:rFonts w:hAnsi="宋体"/>
          <w:sz w:val="24"/>
          <w:szCs w:val="24"/>
          <w:highlight w:val="none"/>
          <w:vertAlign w:val="superscript"/>
        </w:rPr>
        <w:t>3</w:t>
      </w:r>
      <w:r>
        <w:rPr>
          <w:rFonts w:hint="eastAsia"/>
          <w:sz w:val="24"/>
          <w:szCs w:val="24"/>
          <w:highlight w:val="none"/>
        </w:rPr>
        <w:t>，砂处理、混砂</w:t>
      </w:r>
      <w:r>
        <w:rPr>
          <w:sz w:val="24"/>
          <w:szCs w:val="24"/>
          <w:highlight w:val="none"/>
        </w:rPr>
        <w:t>废气</w:t>
      </w:r>
      <w:r>
        <w:rPr>
          <w:rFonts w:hint="eastAsia"/>
          <w:sz w:val="24"/>
          <w:szCs w:val="24"/>
          <w:highlight w:val="none"/>
        </w:rPr>
        <w:t>颗粒物</w:t>
      </w:r>
      <w:r>
        <w:rPr>
          <w:rFonts w:hAnsi="宋体"/>
          <w:sz w:val="24"/>
          <w:szCs w:val="24"/>
          <w:highlight w:val="none"/>
        </w:rPr>
        <w:t>排放浓度最大值为</w:t>
      </w:r>
      <w:r>
        <w:rPr>
          <w:rFonts w:hint="eastAsia" w:hAnsi="宋体"/>
          <w:sz w:val="24"/>
          <w:szCs w:val="24"/>
          <w:highlight w:val="none"/>
        </w:rPr>
        <w:t>11.5</w:t>
      </w:r>
      <w:r>
        <w:rPr>
          <w:rFonts w:hAnsi="宋体"/>
          <w:sz w:val="24"/>
          <w:szCs w:val="24"/>
          <w:highlight w:val="none"/>
        </w:rPr>
        <w:t>mg/m</w:t>
      </w:r>
      <w:r>
        <w:rPr>
          <w:rFonts w:hAnsi="宋体"/>
          <w:sz w:val="24"/>
          <w:szCs w:val="24"/>
          <w:highlight w:val="none"/>
          <w:vertAlign w:val="superscript"/>
        </w:rPr>
        <w:t>3</w:t>
      </w:r>
      <w:r>
        <w:rPr>
          <w:rFonts w:hint="eastAsia" w:hAnsi="宋体"/>
          <w:sz w:val="24"/>
          <w:szCs w:val="24"/>
          <w:highlight w:val="none"/>
        </w:rPr>
        <w:t>，</w:t>
      </w:r>
      <w:r>
        <w:rPr>
          <w:rFonts w:hint="eastAsia"/>
          <w:sz w:val="24"/>
          <w:szCs w:val="24"/>
          <w:highlight w:val="none"/>
        </w:rPr>
        <w:t>抛丸、打磨</w:t>
      </w:r>
      <w:r>
        <w:rPr>
          <w:sz w:val="24"/>
          <w:szCs w:val="24"/>
          <w:highlight w:val="none"/>
        </w:rPr>
        <w:t>废气</w:t>
      </w:r>
      <w:r>
        <w:rPr>
          <w:rFonts w:hint="eastAsia"/>
          <w:sz w:val="24"/>
          <w:szCs w:val="24"/>
          <w:highlight w:val="none"/>
        </w:rPr>
        <w:t>颗粒物</w:t>
      </w:r>
      <w:r>
        <w:rPr>
          <w:rFonts w:hAnsi="宋体"/>
          <w:sz w:val="24"/>
          <w:szCs w:val="24"/>
          <w:highlight w:val="none"/>
        </w:rPr>
        <w:t>排放浓度最大值为</w:t>
      </w:r>
      <w:r>
        <w:rPr>
          <w:rFonts w:hint="eastAsia" w:hAnsi="宋体"/>
          <w:sz w:val="24"/>
          <w:szCs w:val="24"/>
          <w:highlight w:val="none"/>
        </w:rPr>
        <w:t>11.3</w:t>
      </w:r>
      <w:r>
        <w:rPr>
          <w:rFonts w:hAnsi="宋体"/>
          <w:sz w:val="24"/>
          <w:szCs w:val="24"/>
          <w:highlight w:val="none"/>
        </w:rPr>
        <w:t>mg/m</w:t>
      </w:r>
      <w:r>
        <w:rPr>
          <w:rFonts w:hAnsi="宋体"/>
          <w:sz w:val="24"/>
          <w:szCs w:val="24"/>
          <w:highlight w:val="none"/>
          <w:vertAlign w:val="superscript"/>
        </w:rPr>
        <w:t>3</w:t>
      </w:r>
      <w:r>
        <w:rPr>
          <w:rFonts w:hint="eastAsia" w:hAnsi="宋体"/>
          <w:sz w:val="24"/>
          <w:szCs w:val="24"/>
          <w:highlight w:val="none"/>
        </w:rPr>
        <w:t>，</w:t>
      </w:r>
      <w:r>
        <w:rPr>
          <w:rFonts w:hint="eastAsia"/>
          <w:sz w:val="24"/>
          <w:szCs w:val="24"/>
          <w:highlight w:val="none"/>
          <w:lang w:eastAsia="zh-CN"/>
        </w:rPr>
        <w:t>喷塑</w:t>
      </w:r>
      <w:r>
        <w:rPr>
          <w:sz w:val="24"/>
          <w:szCs w:val="24"/>
          <w:highlight w:val="none"/>
        </w:rPr>
        <w:t>废气</w:t>
      </w:r>
      <w:r>
        <w:rPr>
          <w:rFonts w:hint="eastAsia"/>
          <w:sz w:val="24"/>
          <w:szCs w:val="24"/>
          <w:highlight w:val="none"/>
        </w:rPr>
        <w:t>颗粒物</w:t>
      </w:r>
      <w:r>
        <w:rPr>
          <w:rFonts w:hAnsi="宋体"/>
          <w:sz w:val="24"/>
          <w:szCs w:val="24"/>
          <w:highlight w:val="none"/>
        </w:rPr>
        <w:t>排放浓度最大值为</w:t>
      </w:r>
      <w:r>
        <w:rPr>
          <w:rFonts w:hint="eastAsia" w:hAnsi="宋体"/>
          <w:sz w:val="24"/>
          <w:szCs w:val="24"/>
          <w:highlight w:val="none"/>
          <w:lang w:val="en-US" w:eastAsia="zh-CN"/>
        </w:rPr>
        <w:t>12.4</w:t>
      </w:r>
      <w:r>
        <w:rPr>
          <w:rFonts w:hAnsi="宋体"/>
          <w:sz w:val="24"/>
          <w:szCs w:val="24"/>
          <w:highlight w:val="none"/>
        </w:rPr>
        <w:t>mg/m</w:t>
      </w:r>
      <w:r>
        <w:rPr>
          <w:rFonts w:hAnsi="宋体"/>
          <w:sz w:val="24"/>
          <w:szCs w:val="24"/>
          <w:highlight w:val="none"/>
          <w:vertAlign w:val="superscript"/>
        </w:rPr>
        <w:t>3</w:t>
      </w:r>
      <w:r>
        <w:rPr>
          <w:rFonts w:hint="eastAsia" w:hAnsi="宋体"/>
          <w:sz w:val="24"/>
          <w:szCs w:val="24"/>
          <w:highlight w:val="none"/>
        </w:rPr>
        <w:t>，</w:t>
      </w:r>
      <w:r>
        <w:rPr>
          <w:rFonts w:hint="eastAsia"/>
          <w:sz w:val="24"/>
          <w:szCs w:val="24"/>
          <w:highlight w:val="none"/>
        </w:rPr>
        <w:t>均满足《铸造工业大气污染物排放标准》（GB39726-2020）</w:t>
      </w:r>
      <w:r>
        <w:rPr>
          <w:rFonts w:hint="eastAsia" w:hAnsi="宋体"/>
          <w:sz w:val="24"/>
          <w:szCs w:val="24"/>
          <w:highlight w:val="none"/>
        </w:rPr>
        <w:t>表</w:t>
      </w:r>
      <w:r>
        <w:rPr>
          <w:rFonts w:hAnsi="宋体"/>
          <w:sz w:val="24"/>
          <w:szCs w:val="24"/>
          <w:highlight w:val="none"/>
        </w:rPr>
        <w:t>1</w:t>
      </w:r>
      <w:r>
        <w:rPr>
          <w:rFonts w:hint="eastAsia" w:hAnsi="宋体"/>
          <w:sz w:val="24"/>
          <w:szCs w:val="24"/>
          <w:highlight w:val="none"/>
        </w:rPr>
        <w:t>中</w:t>
      </w:r>
      <w:r>
        <w:rPr>
          <w:rFonts w:hint="eastAsia"/>
          <w:sz w:val="24"/>
          <w:szCs w:val="24"/>
          <w:highlight w:val="none"/>
        </w:rPr>
        <w:t>排放限值要求。</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ascii="Times New Roman" w:hAnsi="Times New Roman"/>
          <w:sz w:val="24"/>
          <w:szCs w:val="24"/>
          <w:highlight w:val="none"/>
        </w:rPr>
        <w:t>2</w:t>
      </w:r>
      <w:r>
        <w:rPr>
          <w:rFonts w:hint="eastAsia" w:ascii="Times New Roman" w:hAnsi="Times New Roman"/>
          <w:sz w:val="24"/>
          <w:szCs w:val="24"/>
          <w:highlight w:val="none"/>
        </w:rPr>
        <w:t>）制芯</w:t>
      </w:r>
      <w:r>
        <w:rPr>
          <w:rFonts w:ascii="Times New Roman" w:hAnsi="Times New Roman"/>
          <w:sz w:val="24"/>
          <w:szCs w:val="24"/>
          <w:highlight w:val="none"/>
        </w:rPr>
        <w:t>废气</w:t>
      </w:r>
      <w:r>
        <w:rPr>
          <w:rFonts w:hint="eastAsia" w:ascii="Times New Roman" w:hAnsi="Times New Roman"/>
          <w:sz w:val="24"/>
          <w:szCs w:val="24"/>
          <w:highlight w:val="none"/>
        </w:rPr>
        <w:t>非甲烷总烃</w:t>
      </w:r>
      <w:r>
        <w:rPr>
          <w:rFonts w:ascii="Times New Roman" w:hAnsi="宋体"/>
          <w:sz w:val="24"/>
          <w:szCs w:val="24"/>
          <w:highlight w:val="none"/>
        </w:rPr>
        <w:t>排放浓度最大值为</w:t>
      </w:r>
      <w:r>
        <w:rPr>
          <w:rFonts w:hint="eastAsia" w:ascii="Times New Roman" w:hAnsi="宋体"/>
          <w:sz w:val="24"/>
          <w:szCs w:val="24"/>
          <w:highlight w:val="none"/>
        </w:rPr>
        <w:t>14.9</w:t>
      </w:r>
      <w:r>
        <w:rPr>
          <w:rFonts w:ascii="Times New Roman" w:hAnsi="宋体"/>
          <w:sz w:val="24"/>
          <w:szCs w:val="24"/>
          <w:highlight w:val="none"/>
        </w:rPr>
        <w:t>mg/m</w:t>
      </w:r>
      <w:r>
        <w:rPr>
          <w:rFonts w:ascii="Times New Roman" w:hAnsi="宋体"/>
          <w:sz w:val="24"/>
          <w:szCs w:val="24"/>
          <w:highlight w:val="none"/>
          <w:vertAlign w:val="superscript"/>
        </w:rPr>
        <w:t>3</w:t>
      </w:r>
      <w:r>
        <w:rPr>
          <w:rFonts w:hint="eastAsia" w:ascii="Times New Roman" w:hAnsi="Times New Roman"/>
          <w:sz w:val="24"/>
          <w:szCs w:val="24"/>
          <w:highlight w:val="none"/>
        </w:rPr>
        <w:t>，满足</w:t>
      </w:r>
      <w:r>
        <w:rPr>
          <w:rFonts w:hint="eastAsia" w:ascii="Times New Roman" w:hAnsi="Times New Roman" w:eastAsia="宋体" w:cs="Times New Roman"/>
          <w:color w:val="auto"/>
          <w:sz w:val="24"/>
          <w:szCs w:val="24"/>
          <w:highlight w:val="none"/>
          <w:lang w:val="en-US" w:eastAsia="zh-CN"/>
        </w:rPr>
        <w:t>《山西省重点行业挥发性有机物（VOCs）2017专项治理方案》</w:t>
      </w:r>
      <w:r>
        <w:rPr>
          <w:rFonts w:hint="eastAsia" w:ascii="Times New Roman" w:hAnsi="Times New Roman" w:cs="Times New Roman"/>
          <w:color w:val="auto"/>
          <w:sz w:val="24"/>
          <w:szCs w:val="24"/>
          <w:highlight w:val="none"/>
          <w:lang w:val="en-US" w:eastAsia="zh-CN"/>
        </w:rPr>
        <w:t>中</w:t>
      </w:r>
      <w:r>
        <w:rPr>
          <w:rFonts w:hint="eastAsia" w:ascii="Times New Roman" w:hAnsi="Times New Roman"/>
          <w:sz w:val="24"/>
          <w:szCs w:val="24"/>
          <w:highlight w:val="none"/>
        </w:rPr>
        <w:t>排放限值要求</w:t>
      </w:r>
      <w:r>
        <w:rPr>
          <w:rFonts w:ascii="Times New Roman" w:hAnsi="Times New Roman"/>
          <w:sz w:val="24"/>
          <w:szCs w:val="24"/>
          <w:highlight w:val="none"/>
        </w:rPr>
        <w:t>。</w:t>
      </w:r>
    </w:p>
    <w:p>
      <w:pPr>
        <w:pStyle w:val="2"/>
        <w:spacing w:after="0" w:line="440" w:lineRule="exact"/>
        <w:ind w:left="0" w:leftChars="0" w:firstLine="480"/>
        <w:rPr>
          <w:sz w:val="24"/>
          <w:szCs w:val="24"/>
          <w:highlight w:val="none"/>
        </w:rPr>
      </w:pPr>
      <w:r>
        <w:rPr>
          <w:rFonts w:hint="eastAsia"/>
          <w:sz w:val="24"/>
          <w:szCs w:val="24"/>
          <w:highlight w:val="none"/>
        </w:rPr>
        <w:t>（</w:t>
      </w:r>
      <w:r>
        <w:rPr>
          <w:sz w:val="24"/>
          <w:szCs w:val="24"/>
          <w:highlight w:val="none"/>
        </w:rPr>
        <w:t>3</w:t>
      </w:r>
      <w:r>
        <w:rPr>
          <w:rFonts w:hint="eastAsia"/>
          <w:sz w:val="24"/>
          <w:szCs w:val="24"/>
          <w:highlight w:val="none"/>
        </w:rPr>
        <w:t>）蘸漆、固化</w:t>
      </w:r>
      <w:r>
        <w:rPr>
          <w:sz w:val="24"/>
          <w:szCs w:val="24"/>
          <w:highlight w:val="none"/>
        </w:rPr>
        <w:t>废气</w:t>
      </w:r>
      <w:r>
        <w:rPr>
          <w:rFonts w:hint="eastAsia"/>
          <w:sz w:val="24"/>
          <w:szCs w:val="24"/>
          <w:highlight w:val="none"/>
        </w:rPr>
        <w:t>甲苯和二甲苯</w:t>
      </w:r>
      <w:r>
        <w:rPr>
          <w:rFonts w:hAnsi="宋体"/>
          <w:sz w:val="24"/>
          <w:szCs w:val="24"/>
          <w:highlight w:val="none"/>
        </w:rPr>
        <w:t>排放浓度最大值为</w:t>
      </w:r>
      <w:r>
        <w:rPr>
          <w:rFonts w:hint="eastAsia" w:hAnsi="宋体"/>
          <w:sz w:val="24"/>
          <w:szCs w:val="24"/>
          <w:highlight w:val="none"/>
        </w:rPr>
        <w:t>11.3</w:t>
      </w:r>
      <w:r>
        <w:rPr>
          <w:rFonts w:hAnsi="宋体"/>
          <w:sz w:val="24"/>
          <w:szCs w:val="24"/>
          <w:highlight w:val="none"/>
        </w:rPr>
        <w:t>mg/m</w:t>
      </w:r>
      <w:r>
        <w:rPr>
          <w:rFonts w:hAnsi="宋体"/>
          <w:sz w:val="24"/>
          <w:szCs w:val="24"/>
          <w:highlight w:val="none"/>
          <w:vertAlign w:val="superscript"/>
        </w:rPr>
        <w:t>3</w:t>
      </w:r>
      <w:r>
        <w:rPr>
          <w:rFonts w:hint="eastAsia" w:hAnsi="宋体"/>
          <w:sz w:val="24"/>
          <w:szCs w:val="24"/>
          <w:highlight w:val="none"/>
        </w:rPr>
        <w:t>，</w:t>
      </w:r>
      <w:r>
        <w:rPr>
          <w:rFonts w:hint="eastAsia"/>
          <w:sz w:val="24"/>
          <w:szCs w:val="24"/>
          <w:highlight w:val="none"/>
        </w:rPr>
        <w:t>非甲烷总烃达</w:t>
      </w:r>
      <w:r>
        <w:rPr>
          <w:rFonts w:hAnsi="宋体"/>
          <w:sz w:val="24"/>
          <w:szCs w:val="24"/>
          <w:highlight w:val="none"/>
        </w:rPr>
        <w:t>排放浓度最大值为</w:t>
      </w:r>
      <w:r>
        <w:rPr>
          <w:rFonts w:hint="eastAsia" w:hAnsi="宋体"/>
          <w:sz w:val="24"/>
          <w:szCs w:val="24"/>
          <w:highlight w:val="none"/>
        </w:rPr>
        <w:t>14.2</w:t>
      </w:r>
      <w:r>
        <w:rPr>
          <w:rFonts w:hAnsi="宋体"/>
          <w:sz w:val="24"/>
          <w:szCs w:val="24"/>
          <w:highlight w:val="none"/>
        </w:rPr>
        <w:t>mg/m</w:t>
      </w:r>
      <w:r>
        <w:rPr>
          <w:rFonts w:hAnsi="宋体"/>
          <w:sz w:val="24"/>
          <w:szCs w:val="24"/>
          <w:highlight w:val="none"/>
          <w:vertAlign w:val="superscript"/>
        </w:rPr>
        <w:t>3</w:t>
      </w:r>
      <w:r>
        <w:rPr>
          <w:rFonts w:hint="eastAsia" w:hAnsi="宋体"/>
          <w:sz w:val="24"/>
          <w:szCs w:val="24"/>
          <w:highlight w:val="none"/>
        </w:rPr>
        <w:t>，</w:t>
      </w:r>
      <w:r>
        <w:rPr>
          <w:rFonts w:hint="eastAsia"/>
          <w:sz w:val="24"/>
          <w:szCs w:val="24"/>
          <w:highlight w:val="none"/>
        </w:rPr>
        <w:t>均满足《铸造工业大气污染物排放标准》（GB39726-2020）</w:t>
      </w:r>
      <w:r>
        <w:rPr>
          <w:rFonts w:hint="eastAsia" w:hAnsi="宋体"/>
          <w:sz w:val="24"/>
          <w:szCs w:val="24"/>
          <w:highlight w:val="none"/>
        </w:rPr>
        <w:t>表</w:t>
      </w:r>
      <w:r>
        <w:rPr>
          <w:rFonts w:hAnsi="宋体"/>
          <w:sz w:val="24"/>
          <w:szCs w:val="24"/>
          <w:highlight w:val="none"/>
        </w:rPr>
        <w:t>1</w:t>
      </w:r>
      <w:r>
        <w:rPr>
          <w:rFonts w:hint="eastAsia" w:hAnsi="宋体"/>
          <w:sz w:val="24"/>
          <w:szCs w:val="24"/>
          <w:highlight w:val="none"/>
        </w:rPr>
        <w:t>中</w:t>
      </w:r>
      <w:r>
        <w:rPr>
          <w:rFonts w:hint="eastAsia"/>
          <w:sz w:val="24"/>
          <w:szCs w:val="24"/>
          <w:highlight w:val="none"/>
        </w:rPr>
        <w:t>排放限值要求。</w:t>
      </w:r>
    </w:p>
    <w:p>
      <w:pPr>
        <w:spacing w:line="440" w:lineRule="exact"/>
        <w:ind w:firstLine="480" w:firstLineChars="200"/>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rPr>
        <w:t>（</w:t>
      </w:r>
      <w:r>
        <w:rPr>
          <w:rFonts w:ascii="Times New Roman" w:hAnsi="Times New Roman"/>
          <w:sz w:val="24"/>
          <w:szCs w:val="24"/>
          <w:highlight w:val="none"/>
        </w:rPr>
        <w:t>4</w:t>
      </w:r>
      <w:r>
        <w:rPr>
          <w:rFonts w:hint="eastAsia" w:ascii="Times New Roman" w:hAnsi="Times New Roman"/>
          <w:sz w:val="24"/>
          <w:szCs w:val="24"/>
          <w:highlight w:val="none"/>
        </w:rPr>
        <w:t>）</w:t>
      </w:r>
      <w:r>
        <w:rPr>
          <w:rFonts w:ascii="Times New Roman" w:hAnsi="Times New Roman"/>
          <w:sz w:val="24"/>
          <w:szCs w:val="24"/>
          <w:highlight w:val="none"/>
        </w:rPr>
        <w:t>厂界无组织废气颗粒物监控点浓度最大值为0.603mg/m</w:t>
      </w:r>
      <w:r>
        <w:rPr>
          <w:rFonts w:ascii="Times New Roman" w:hAnsi="Times New Roman"/>
          <w:sz w:val="24"/>
          <w:szCs w:val="24"/>
          <w:highlight w:val="none"/>
          <w:vertAlign w:val="superscript"/>
        </w:rPr>
        <w:t>3</w:t>
      </w:r>
      <w:r>
        <w:rPr>
          <w:rFonts w:ascii="Times New Roman" w:hAnsi="Times New Roman"/>
          <w:sz w:val="24"/>
          <w:szCs w:val="24"/>
          <w:highlight w:val="none"/>
        </w:rPr>
        <w:t>，</w:t>
      </w:r>
      <w:r>
        <w:rPr>
          <w:rFonts w:hint="eastAsia" w:ascii="Times New Roman" w:hAnsi="Times New Roman"/>
          <w:sz w:val="24"/>
          <w:szCs w:val="24"/>
          <w:highlight w:val="none"/>
        </w:rPr>
        <w:t>满足</w:t>
      </w:r>
      <w:r>
        <w:rPr>
          <w:rFonts w:ascii="Times New Roman" w:hAnsi="Times New Roman"/>
          <w:sz w:val="24"/>
          <w:szCs w:val="24"/>
          <w:highlight w:val="none"/>
        </w:rPr>
        <w:t>《大气污染物综合排放标准》（GB16297-1996）</w:t>
      </w:r>
      <w:r>
        <w:rPr>
          <w:rFonts w:hint="eastAsia" w:ascii="Times New Roman" w:hAnsi="Times New Roman"/>
          <w:sz w:val="24"/>
          <w:szCs w:val="24"/>
          <w:highlight w:val="none"/>
        </w:rPr>
        <w:t>中无组织排放限值要求。</w:t>
      </w:r>
      <w:r>
        <w:rPr>
          <w:rFonts w:ascii="Times New Roman" w:hAnsi="Times New Roman"/>
          <w:sz w:val="24"/>
          <w:szCs w:val="24"/>
          <w:highlight w:val="none"/>
        </w:rPr>
        <w:t>非甲烷总烃监控点浓度最大值为1.78mg/m</w:t>
      </w:r>
      <w:r>
        <w:rPr>
          <w:rFonts w:ascii="Times New Roman" w:hAnsi="Times New Roman"/>
          <w:sz w:val="24"/>
          <w:szCs w:val="24"/>
          <w:highlight w:val="none"/>
          <w:vertAlign w:val="superscript"/>
        </w:rPr>
        <w:t>3</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满足</w:t>
      </w:r>
      <w:r>
        <w:rPr>
          <w:rFonts w:hint="eastAsia" w:ascii="Times New Roman" w:hAnsi="Times New Roman" w:eastAsia="宋体" w:cs="Times New Roman"/>
          <w:color w:val="auto"/>
          <w:sz w:val="24"/>
          <w:szCs w:val="24"/>
          <w:highlight w:val="none"/>
          <w:lang w:val="en-US" w:eastAsia="zh-CN"/>
        </w:rPr>
        <w:t>《山西省重点行业挥发性有机物（VOCs）2017专项治理方案》</w:t>
      </w:r>
      <w:r>
        <w:rPr>
          <w:rFonts w:hint="eastAsia" w:ascii="Times New Roman" w:hAnsi="Times New Roman"/>
          <w:sz w:val="24"/>
          <w:szCs w:val="24"/>
          <w:highlight w:val="none"/>
        </w:rPr>
        <w:t>中无组织排放限值要求</w:t>
      </w:r>
      <w:r>
        <w:rPr>
          <w:rFonts w:hint="eastAsia" w:ascii="Times New Roman" w:hAnsi="Times New Roman"/>
          <w:sz w:val="24"/>
          <w:szCs w:val="24"/>
          <w:highlight w:val="none"/>
          <w:lang w:eastAsia="zh-CN"/>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2、噪声</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厂界噪声昼间监测为</w:t>
      </w:r>
      <w:r>
        <w:rPr>
          <w:rFonts w:hint="eastAsia" w:ascii="Times New Roman" w:hAnsi="Times New Roman"/>
          <w:sz w:val="24"/>
          <w:szCs w:val="24"/>
          <w:highlight w:val="none"/>
        </w:rPr>
        <w:t>50.5</w:t>
      </w:r>
      <w:r>
        <w:rPr>
          <w:rFonts w:ascii="Times New Roman" w:hAnsi="Times New Roman"/>
          <w:sz w:val="24"/>
          <w:szCs w:val="24"/>
          <w:highlight w:val="none"/>
        </w:rPr>
        <w:t>dB(A)</w:t>
      </w:r>
      <w:r>
        <w:rPr>
          <w:rFonts w:hint="eastAsia" w:ascii="Times New Roman" w:hAnsi="Times New Roman"/>
          <w:sz w:val="24"/>
          <w:szCs w:val="24"/>
          <w:highlight w:val="none"/>
        </w:rPr>
        <w:t>~54.8</w:t>
      </w:r>
      <w:r>
        <w:rPr>
          <w:rFonts w:ascii="Times New Roman" w:hAnsi="Times New Roman"/>
          <w:sz w:val="24"/>
          <w:szCs w:val="24"/>
          <w:highlight w:val="none"/>
        </w:rPr>
        <w:t>dB(A)，夜间监测值</w:t>
      </w:r>
      <w:r>
        <w:rPr>
          <w:rFonts w:hint="eastAsia" w:ascii="Times New Roman" w:hAnsi="Times New Roman"/>
          <w:sz w:val="24"/>
          <w:szCs w:val="24"/>
          <w:highlight w:val="none"/>
        </w:rPr>
        <w:t>为40.7</w:t>
      </w:r>
      <w:r>
        <w:rPr>
          <w:rFonts w:ascii="Times New Roman" w:hAnsi="Times New Roman"/>
          <w:sz w:val="24"/>
          <w:szCs w:val="24"/>
          <w:highlight w:val="none"/>
        </w:rPr>
        <w:t>B(A)</w:t>
      </w:r>
      <w:r>
        <w:rPr>
          <w:rFonts w:hint="eastAsia" w:ascii="Times New Roman" w:hAnsi="Times New Roman"/>
          <w:sz w:val="24"/>
          <w:szCs w:val="24"/>
          <w:highlight w:val="none"/>
        </w:rPr>
        <w:t>~44.6</w:t>
      </w:r>
      <w:r>
        <w:rPr>
          <w:rFonts w:ascii="Times New Roman" w:hAnsi="Times New Roman"/>
          <w:sz w:val="24"/>
          <w:szCs w:val="24"/>
          <w:highlight w:val="none"/>
        </w:rPr>
        <w:t>B(A)，均</w:t>
      </w:r>
      <w:r>
        <w:rPr>
          <w:rFonts w:hint="eastAsia" w:ascii="Times New Roman" w:hAnsi="Times New Roman"/>
          <w:sz w:val="24"/>
          <w:szCs w:val="24"/>
          <w:highlight w:val="none"/>
        </w:rPr>
        <w:t>满足</w:t>
      </w:r>
      <w:r>
        <w:rPr>
          <w:rFonts w:ascii="Times New Roman" w:hAnsi="Times New Roman"/>
          <w:sz w:val="24"/>
          <w:szCs w:val="24"/>
          <w:highlight w:val="none"/>
        </w:rPr>
        <w:t>《工业企业厂界环境噪声排放标准》GB12348-2008中2类标准限值。</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3、总量达标情况</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根据验收监测数据计算，</w:t>
      </w:r>
      <w:r>
        <w:rPr>
          <w:rFonts w:hint="eastAsia"/>
          <w:sz w:val="24"/>
          <w:szCs w:val="24"/>
          <w:highlight w:val="none"/>
        </w:rPr>
        <w:t>粉尘</w:t>
      </w:r>
      <w:r>
        <w:rPr>
          <w:sz w:val="24"/>
          <w:szCs w:val="24"/>
          <w:highlight w:val="none"/>
        </w:rPr>
        <w:t>年排放量为</w:t>
      </w:r>
      <w:r>
        <w:rPr>
          <w:rFonts w:hint="eastAsia" w:ascii="Times New Roman" w:hAnsi="Times New Roman"/>
          <w:kern w:val="0"/>
          <w:sz w:val="24"/>
          <w:szCs w:val="24"/>
          <w:highlight w:val="none"/>
        </w:rPr>
        <w:t>2.207</w:t>
      </w:r>
      <w:r>
        <w:rPr>
          <w:sz w:val="24"/>
          <w:szCs w:val="24"/>
          <w:highlight w:val="none"/>
        </w:rPr>
        <w:t>吨</w:t>
      </w:r>
      <w:r>
        <w:rPr>
          <w:rFonts w:hint="eastAsia"/>
          <w:sz w:val="24"/>
          <w:szCs w:val="24"/>
          <w:highlight w:val="none"/>
        </w:rPr>
        <w:t>/年</w:t>
      </w:r>
      <w:r>
        <w:rPr>
          <w:sz w:val="24"/>
          <w:szCs w:val="24"/>
          <w:highlight w:val="none"/>
        </w:rPr>
        <w:t>，</w:t>
      </w:r>
      <w:r>
        <w:rPr>
          <w:rFonts w:hint="eastAsia" w:ascii="Times New Roman" w:hAnsi="Times New Roman"/>
          <w:sz w:val="24"/>
          <w:szCs w:val="24"/>
          <w:highlight w:val="none"/>
        </w:rPr>
        <w:t>满足批复的</w:t>
      </w:r>
      <w:r>
        <w:rPr>
          <w:rFonts w:ascii="Times New Roman" w:hAnsi="Times New Roman"/>
          <w:sz w:val="24"/>
          <w:szCs w:val="24"/>
          <w:highlight w:val="none"/>
        </w:rPr>
        <w:t>总量控制指标</w:t>
      </w:r>
      <w:r>
        <w:rPr>
          <w:rFonts w:hint="eastAsia" w:ascii="Times New Roman" w:hAnsi="Times New Roman"/>
          <w:sz w:val="24"/>
          <w:szCs w:val="24"/>
          <w:highlight w:val="none"/>
        </w:rPr>
        <w:t>要求：</w:t>
      </w:r>
      <w:r>
        <w:rPr>
          <w:rFonts w:hint="eastAsia"/>
          <w:sz w:val="24"/>
          <w:szCs w:val="24"/>
          <w:highlight w:val="none"/>
        </w:rPr>
        <w:t>粉尘4.41吨/年。</w:t>
      </w:r>
    </w:p>
    <w:p>
      <w:pPr>
        <w:tabs>
          <w:tab w:val="center" w:pos="4473"/>
        </w:tabs>
        <w:snapToGrid w:val="0"/>
        <w:spacing w:line="440" w:lineRule="exact"/>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五、验收结论</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文水宝吉铸钢加工有限责任公司年产13000吨健身用品项目环保手续齐全，结合《竣工环境保护验收监测表》结论和现场检查情况，工程实际建设内容与环评基本一致，执行了环境影响评价和“三同时”管理制度；基本落实了环境影响报告书及批复规定的各项环境保护措施，主要污染物排放符合标准要求。经讨论，竣工环境保护验收工作组一致同意本项目通过竣工环境保护验收。</w:t>
      </w:r>
    </w:p>
    <w:p>
      <w:pPr>
        <w:tabs>
          <w:tab w:val="center" w:pos="4473"/>
        </w:tabs>
        <w:snapToGrid w:val="0"/>
        <w:spacing w:line="440" w:lineRule="exact"/>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六、后续要求</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1、进一步规范危废暂存间建设，完善环保标识、标志及台账记录，严格按照国家环保要求进行收集、暂存、转移、处置</w:t>
      </w:r>
    </w:p>
    <w:p>
      <w:pPr>
        <w:spacing w:line="44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rPr>
        <w:t>2、提高集气罩收集效率，加强布袋除尘器和有机废气处理等环保设施的日常运行管理，确保污染物长期、稳定达标排放。</w:t>
      </w:r>
    </w:p>
    <w:p>
      <w:pPr>
        <w:tabs>
          <w:tab w:val="center" w:pos="4473"/>
        </w:tabs>
        <w:snapToGrid w:val="0"/>
        <w:spacing w:line="440" w:lineRule="exact"/>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七、验收人员信息</w:t>
      </w:r>
    </w:p>
    <w:p>
      <w:pPr>
        <w:adjustRightInd w:val="0"/>
        <w:snapToGrid w:val="0"/>
        <w:spacing w:line="440" w:lineRule="exact"/>
        <w:ind w:firstLine="480" w:firstLineChars="200"/>
        <w:rPr>
          <w:sz w:val="24"/>
          <w:highlight w:val="none"/>
        </w:rPr>
      </w:pPr>
      <w:r>
        <w:rPr>
          <w:rFonts w:hint="eastAsia"/>
          <w:sz w:val="24"/>
          <w:highlight w:val="none"/>
        </w:rPr>
        <w:t>验收组名单附后</w:t>
      </w:r>
    </w:p>
    <w:p>
      <w:pPr>
        <w:pStyle w:val="2"/>
        <w:spacing w:line="440" w:lineRule="exact"/>
        <w:rPr>
          <w:highlight w:val="none"/>
        </w:rPr>
      </w:pPr>
    </w:p>
    <w:p>
      <w:pPr>
        <w:spacing w:line="500" w:lineRule="exact"/>
        <w:ind w:firstLine="480" w:firstLineChars="200"/>
        <w:jc w:val="right"/>
        <w:rPr>
          <w:rFonts w:ascii="Times New Roman" w:hAnsi="Times New Roman"/>
          <w:sz w:val="24"/>
          <w:szCs w:val="24"/>
          <w:highlight w:val="none"/>
        </w:rPr>
      </w:pPr>
      <w:r>
        <w:rPr>
          <w:rFonts w:ascii="Times New Roman" w:hAnsi="Times New Roman"/>
          <w:sz w:val="24"/>
          <w:szCs w:val="24"/>
          <w:highlight w:val="none"/>
        </w:rPr>
        <w:t>文水宝吉铸钢加工有限责任公司</w:t>
      </w:r>
    </w:p>
    <w:p>
      <w:pPr>
        <w:spacing w:line="500" w:lineRule="exact"/>
        <w:ind w:firstLine="480" w:firstLineChars="200"/>
        <w:rPr>
          <w:rFonts w:ascii="Times New Roman" w:hAnsi="Times New Roman"/>
          <w:color w:val="FF0000"/>
          <w:sz w:val="28"/>
          <w:szCs w:val="28"/>
          <w:highlight w:val="none"/>
        </w:rPr>
      </w:pPr>
      <w:r>
        <w:rPr>
          <w:color w:val="000000"/>
          <w:sz w:val="24"/>
          <w:highlight w:val="none"/>
        </w:rPr>
        <w:t xml:space="preserve">                                                    2022年</w:t>
      </w:r>
      <w:r>
        <w:rPr>
          <w:rFonts w:hint="eastAsia"/>
          <w:color w:val="000000"/>
          <w:sz w:val="24"/>
          <w:highlight w:val="none"/>
        </w:rPr>
        <w:t>8</w:t>
      </w:r>
      <w:r>
        <w:rPr>
          <w:color w:val="000000"/>
          <w:sz w:val="24"/>
          <w:highlight w:val="none"/>
        </w:rPr>
        <w:t>月</w:t>
      </w:r>
      <w:r>
        <w:rPr>
          <w:rFonts w:hint="eastAsia"/>
          <w:color w:val="000000"/>
          <w:sz w:val="24"/>
          <w:highlight w:val="none"/>
        </w:rPr>
        <w:t>13</w:t>
      </w:r>
      <w:r>
        <w:rPr>
          <w:color w:val="000000"/>
          <w:sz w:val="24"/>
          <w:highlight w:val="none"/>
        </w:rPr>
        <w:t>日</w:t>
      </w:r>
    </w:p>
    <w:bookmarkEnd w:id="1"/>
    <w:sectPr>
      <w:footerReference r:id="rId3" w:type="default"/>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2OGU1ZWJiOWU3MTBmNzczYzc0MTZiZmI4MTEwNzUifQ=="/>
  </w:docVars>
  <w:rsids>
    <w:rsidRoot w:val="007A649E"/>
    <w:rsid w:val="00001866"/>
    <w:rsid w:val="00030C04"/>
    <w:rsid w:val="00037576"/>
    <w:rsid w:val="00042B89"/>
    <w:rsid w:val="00046A08"/>
    <w:rsid w:val="0005062D"/>
    <w:rsid w:val="000606E9"/>
    <w:rsid w:val="00064D04"/>
    <w:rsid w:val="0006514E"/>
    <w:rsid w:val="00066E3B"/>
    <w:rsid w:val="00073BB1"/>
    <w:rsid w:val="000933AE"/>
    <w:rsid w:val="00093489"/>
    <w:rsid w:val="00094B19"/>
    <w:rsid w:val="000B37CF"/>
    <w:rsid w:val="000B65A9"/>
    <w:rsid w:val="000D36E3"/>
    <w:rsid w:val="000D5610"/>
    <w:rsid w:val="000D603C"/>
    <w:rsid w:val="000E17FA"/>
    <w:rsid w:val="000E4D26"/>
    <w:rsid w:val="00104245"/>
    <w:rsid w:val="00106A01"/>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21C82"/>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26487"/>
    <w:rsid w:val="00530C9A"/>
    <w:rsid w:val="00533369"/>
    <w:rsid w:val="00543BF0"/>
    <w:rsid w:val="005478AE"/>
    <w:rsid w:val="00553068"/>
    <w:rsid w:val="00561ABA"/>
    <w:rsid w:val="00564010"/>
    <w:rsid w:val="00573A8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494"/>
    <w:rsid w:val="007C0D7C"/>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03BD6"/>
    <w:rsid w:val="00A059BB"/>
    <w:rsid w:val="00A20F2C"/>
    <w:rsid w:val="00A33F5C"/>
    <w:rsid w:val="00A4084A"/>
    <w:rsid w:val="00A43D08"/>
    <w:rsid w:val="00A52125"/>
    <w:rsid w:val="00A71ECB"/>
    <w:rsid w:val="00A77EBA"/>
    <w:rsid w:val="00A84E2A"/>
    <w:rsid w:val="00A87DD5"/>
    <w:rsid w:val="00AA65BB"/>
    <w:rsid w:val="00AB6725"/>
    <w:rsid w:val="00AE0038"/>
    <w:rsid w:val="00AF594D"/>
    <w:rsid w:val="00B07500"/>
    <w:rsid w:val="00B1002E"/>
    <w:rsid w:val="00B13DB1"/>
    <w:rsid w:val="00B24B1C"/>
    <w:rsid w:val="00B27E90"/>
    <w:rsid w:val="00B30EC4"/>
    <w:rsid w:val="00B339BF"/>
    <w:rsid w:val="00B3693D"/>
    <w:rsid w:val="00B64F87"/>
    <w:rsid w:val="00B71DAE"/>
    <w:rsid w:val="00B771C5"/>
    <w:rsid w:val="00B874D2"/>
    <w:rsid w:val="00BB122A"/>
    <w:rsid w:val="00C410C2"/>
    <w:rsid w:val="00C54C46"/>
    <w:rsid w:val="00C63295"/>
    <w:rsid w:val="00C66CE8"/>
    <w:rsid w:val="00C67EFA"/>
    <w:rsid w:val="00C70D4A"/>
    <w:rsid w:val="00C9172F"/>
    <w:rsid w:val="00C927E5"/>
    <w:rsid w:val="00CB6A84"/>
    <w:rsid w:val="00CC43BC"/>
    <w:rsid w:val="00CC45EF"/>
    <w:rsid w:val="00CD60CF"/>
    <w:rsid w:val="00CD6E4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42431"/>
    <w:rsid w:val="00F52839"/>
    <w:rsid w:val="00F53964"/>
    <w:rsid w:val="00F85044"/>
    <w:rsid w:val="00F917E8"/>
    <w:rsid w:val="00F92BCF"/>
    <w:rsid w:val="00FA14A3"/>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A90E87"/>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AAF528D"/>
    <w:rsid w:val="1B6B69E9"/>
    <w:rsid w:val="1BA1214C"/>
    <w:rsid w:val="1C81737B"/>
    <w:rsid w:val="1C915AE9"/>
    <w:rsid w:val="1D092723"/>
    <w:rsid w:val="1D637B96"/>
    <w:rsid w:val="1DEE3A69"/>
    <w:rsid w:val="1E4A5D6E"/>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47328E"/>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6040E6"/>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4A4EAF"/>
    <w:rsid w:val="41EB486A"/>
    <w:rsid w:val="427A235C"/>
    <w:rsid w:val="428713AC"/>
    <w:rsid w:val="42A35DC5"/>
    <w:rsid w:val="43077D84"/>
    <w:rsid w:val="44EA5D61"/>
    <w:rsid w:val="456D6F59"/>
    <w:rsid w:val="45B90DE1"/>
    <w:rsid w:val="460503AB"/>
    <w:rsid w:val="4730194B"/>
    <w:rsid w:val="4746740C"/>
    <w:rsid w:val="47E81F33"/>
    <w:rsid w:val="48305057"/>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8B2661"/>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E6006BB"/>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212C69"/>
    <w:rsid w:val="685B63B8"/>
    <w:rsid w:val="68FE7C24"/>
    <w:rsid w:val="69283323"/>
    <w:rsid w:val="6A1C34E0"/>
    <w:rsid w:val="6A80119D"/>
    <w:rsid w:val="6AED3B7B"/>
    <w:rsid w:val="6B553344"/>
    <w:rsid w:val="6BB561A5"/>
    <w:rsid w:val="6BBB31B6"/>
    <w:rsid w:val="6CAB7DAB"/>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7BB4F5D"/>
    <w:rsid w:val="780F5851"/>
    <w:rsid w:val="785813A1"/>
    <w:rsid w:val="78830629"/>
    <w:rsid w:val="78BF771B"/>
    <w:rsid w:val="78C5407F"/>
    <w:rsid w:val="791740D6"/>
    <w:rsid w:val="79476E89"/>
    <w:rsid w:val="79A2061D"/>
    <w:rsid w:val="7A00239A"/>
    <w:rsid w:val="7A317CC6"/>
    <w:rsid w:val="7ABE12A4"/>
    <w:rsid w:val="7B35682E"/>
    <w:rsid w:val="7BEC0867"/>
    <w:rsid w:val="7CD34B5F"/>
    <w:rsid w:val="7CD6397A"/>
    <w:rsid w:val="7DA168CE"/>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99"/>
    <w:pPr>
      <w:ind w:firstLine="420" w:firstLineChars="200"/>
    </w:pPr>
  </w:style>
  <w:style w:type="paragraph" w:styleId="3">
    <w:name w:val="Body Text Indent"/>
    <w:basedOn w:val="1"/>
    <w:link w:val="14"/>
    <w:qFormat/>
    <w:uiPriority w:val="99"/>
    <w:pPr>
      <w:spacing w:after="120"/>
      <w:ind w:left="420" w:leftChars="200"/>
    </w:pPr>
    <w:rPr>
      <w:rFonts w:ascii="Times New Roman" w:hAnsi="Times New Roman"/>
    </w:rPr>
  </w:style>
  <w:style w:type="paragraph" w:styleId="4">
    <w:name w:val="Normal Indent"/>
    <w:basedOn w:val="1"/>
    <w:link w:val="21"/>
    <w:qFormat/>
    <w:uiPriority w:val="99"/>
    <w:pPr>
      <w:topLinePunct/>
      <w:spacing w:line="529" w:lineRule="exact"/>
      <w:ind w:firstLine="420" w:firstLineChars="200"/>
    </w:pPr>
    <w:rPr>
      <w:rFonts w:ascii="Times New Roman" w:hAnsi="Times New Roman"/>
      <w:kern w:val="0"/>
      <w:sz w:val="24"/>
      <w:szCs w:val="20"/>
    </w:rPr>
  </w:style>
  <w:style w:type="paragraph" w:styleId="5">
    <w:name w:val="annotation text"/>
    <w:basedOn w:val="1"/>
    <w:semiHidden/>
    <w:unhideWhenUsed/>
    <w:qFormat/>
    <w:uiPriority w:val="99"/>
    <w:pPr>
      <w:jc w:val="left"/>
    </w:pPr>
  </w:style>
  <w:style w:type="paragraph" w:styleId="6">
    <w:name w:val="Salutation"/>
    <w:basedOn w:val="1"/>
    <w:next w:val="1"/>
    <w:qFormat/>
    <w:uiPriority w:val="0"/>
    <w:rPr>
      <w:rFonts w:ascii="Times New Roman" w:hAnsi="Times New Roman"/>
      <w:sz w:val="24"/>
      <w:szCs w:val="24"/>
    </w:rPr>
  </w:style>
  <w:style w:type="paragraph" w:styleId="7">
    <w:name w:val="Plain Text"/>
    <w:basedOn w:val="1"/>
    <w:qFormat/>
    <w:uiPriority w:val="0"/>
    <w:pPr>
      <w:spacing w:before="100" w:beforeAutospacing="1"/>
    </w:pPr>
    <w:rPr>
      <w:rFonts w:ascii="宋体" w:hAnsi="Courier New"/>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正文文本缩进 字符"/>
    <w:link w:val="3"/>
    <w:semiHidden/>
    <w:qFormat/>
    <w:locked/>
    <w:uiPriority w:val="99"/>
    <w:rPr>
      <w:rFonts w:ascii="??" w:hAnsi="??" w:cs="Times New Roman"/>
    </w:rPr>
  </w:style>
  <w:style w:type="character" w:customStyle="1" w:styleId="15">
    <w:name w:val="正文文本首行缩进 2 字符"/>
    <w:link w:val="2"/>
    <w:semiHidden/>
    <w:qFormat/>
    <w:locked/>
    <w:uiPriority w:val="99"/>
    <w:rPr>
      <w:rFonts w:ascii="??" w:hAnsi="??" w:cs="Times New Roman"/>
    </w:rPr>
  </w:style>
  <w:style w:type="character" w:customStyle="1" w:styleId="16">
    <w:name w:val="页脚 字符"/>
    <w:link w:val="8"/>
    <w:qFormat/>
    <w:locked/>
    <w:uiPriority w:val="99"/>
    <w:rPr>
      <w:rFonts w:cs="Times New Roman"/>
      <w:sz w:val="18"/>
      <w:szCs w:val="18"/>
    </w:rPr>
  </w:style>
  <w:style w:type="character" w:customStyle="1" w:styleId="17">
    <w:name w:val="页眉 字符"/>
    <w:link w:val="9"/>
    <w:qFormat/>
    <w:locked/>
    <w:uiPriority w:val="99"/>
    <w:rPr>
      <w:rFonts w:cs="Times New Roman"/>
      <w:sz w:val="18"/>
      <w:szCs w:val="18"/>
    </w:rPr>
  </w:style>
  <w:style w:type="paragraph" w:customStyle="1" w:styleId="18">
    <w:name w:val="p0"/>
    <w:basedOn w:val="1"/>
    <w:qFormat/>
    <w:uiPriority w:val="99"/>
    <w:pPr>
      <w:widowControl/>
      <w:ind w:firstLine="420"/>
      <w:jc w:val="left"/>
    </w:pPr>
    <w:rPr>
      <w:rFonts w:ascii="仿宋_GB2312" w:hAnsi="宋体" w:eastAsia="仿宋_GB2312" w:cs="宋体"/>
      <w:kern w:val="0"/>
      <w:sz w:val="32"/>
      <w:szCs w:val="32"/>
    </w:rPr>
  </w:style>
  <w:style w:type="paragraph" w:customStyle="1" w:styleId="1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9-表格内容"/>
    <w:basedOn w:val="1"/>
    <w:next w:val="1"/>
    <w:qFormat/>
    <w:uiPriority w:val="99"/>
    <w:pPr>
      <w:snapToGrid w:val="0"/>
      <w:spacing w:before="80" w:after="80"/>
      <w:jc w:val="center"/>
    </w:pPr>
    <w:rPr>
      <w:rFonts w:ascii="Times New Roman" w:hAnsi="Times New Roman"/>
      <w:color w:val="000000"/>
      <w:sz w:val="24"/>
    </w:rPr>
  </w:style>
  <w:style w:type="character" w:customStyle="1" w:styleId="21">
    <w:name w:val="正文缩进 字符"/>
    <w:link w:val="4"/>
    <w:qFormat/>
    <w:locked/>
    <w:uiPriority w:val="99"/>
    <w:rPr>
      <w:rFonts w:eastAsia="宋体"/>
      <w:sz w:val="24"/>
    </w:rPr>
  </w:style>
  <w:style w:type="paragraph" w:customStyle="1" w:styleId="22">
    <w:name w:val="List Paragraph1"/>
    <w:basedOn w:val="1"/>
    <w:qFormat/>
    <w:uiPriority w:val="99"/>
    <w:pPr>
      <w:ind w:firstLine="420" w:firstLineChars="200"/>
    </w:pPr>
  </w:style>
  <w:style w:type="paragraph" w:customStyle="1" w:styleId="23">
    <w:name w:val="表格文字-小四-左对齐"/>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4">
    <w:name w:val="表格文字-小四"/>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5">
    <w:name w:val="页眉 Char"/>
    <w:qFormat/>
    <w:uiPriority w:val="99"/>
    <w:rPr>
      <w:rFonts w:eastAsia="宋体"/>
      <w:kern w:val="2"/>
      <w:sz w:val="18"/>
      <w:lang w:val="en-US" w:eastAsia="zh-CN"/>
    </w:rPr>
  </w:style>
  <w:style w:type="paragraph" w:customStyle="1" w:styleId="26">
    <w:name w:val="6表内文字 居中"/>
    <w:basedOn w:val="1"/>
    <w:qFormat/>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7">
    <w:name w:val="a正文"/>
    <w:basedOn w:val="1"/>
    <w:qFormat/>
    <w:uiPriority w:val="0"/>
    <w:pPr>
      <w:spacing w:line="520" w:lineRule="exact"/>
      <w:ind w:firstLine="200" w:firstLineChars="200"/>
    </w:pPr>
    <w:rPr>
      <w:sz w:val="24"/>
      <w:szCs w:val="28"/>
    </w:rPr>
  </w:style>
  <w:style w:type="paragraph" w:customStyle="1" w:styleId="28">
    <w:name w:val="表格文字"/>
    <w:basedOn w:val="29"/>
    <w:qFormat/>
    <w:uiPriority w:val="0"/>
    <w:pPr>
      <w:adjustRightInd w:val="0"/>
      <w:spacing w:line="280" w:lineRule="exact"/>
      <w:ind w:right="-102" w:hanging="91"/>
      <w:textAlignment w:val="baseline"/>
    </w:pPr>
    <w:rPr>
      <w:b w:val="0"/>
      <w:szCs w:val="21"/>
    </w:rPr>
  </w:style>
  <w:style w:type="paragraph" w:customStyle="1" w:styleId="29">
    <w:name w:val="表头"/>
    <w:basedOn w:val="1"/>
    <w:qFormat/>
    <w:uiPriority w:val="0"/>
    <w:pPr>
      <w:spacing w:line="400" w:lineRule="exact"/>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8</Pages>
  <Words>6697</Words>
  <Characters>7361</Characters>
  <Lines>55</Lines>
  <Paragraphs>15</Paragraphs>
  <TotalTime>1</TotalTime>
  <ScaleCrop>false</ScaleCrop>
  <LinksUpToDate>false</LinksUpToDate>
  <CharactersWithSpaces>7450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2020-04-25T11:52:00Z</dcterms:created>
  <dc:creator>1286439588@qq.com</dc:creator>
  <cp:lastModifiedBy>Li. 青</cp:lastModifiedBy>
  <dcterms:modified xsi:type="dcterms:W3CDTF">2022-11-15T06:54:03Z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50CB41F8B46546868DD73E2EA1DFD7CD</vt:lpwstr>
  </property>
</Properties>
</file>